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E2C" w:rsidRPr="00F15171" w:rsidRDefault="00000E2C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F151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10.02.2021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F15171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2-165</w:t>
                            </w:r>
                          </w:p>
                          <w:p w:rsidR="00000E2C" w:rsidRPr="002E1E92" w:rsidRDefault="00000E2C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000E2C" w:rsidRPr="00F15171" w:rsidRDefault="00000E2C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F15171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10.02.2021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F15171">
                        <w:rPr>
                          <w:rFonts w:ascii="PT Astra Serif" w:hAnsi="PT Astra Serif"/>
                          <w:sz w:val="28"/>
                          <w:szCs w:val="28"/>
                        </w:rPr>
                        <w:t>2-165</w:t>
                      </w:r>
                    </w:p>
                    <w:p w:rsidR="00000E2C" w:rsidRPr="002E1E92" w:rsidRDefault="00000E2C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17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20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 39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59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 на 20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21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3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</w:t>
      </w:r>
      <w:proofErr w:type="gramEnd"/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17451C" w:rsidRPr="0047343E" w:rsidTr="00A4271A">
        <w:tc>
          <w:tcPr>
            <w:tcW w:w="2666" w:type="pct"/>
            <w:hideMark/>
          </w:tcPr>
          <w:p w:rsidR="0017451C" w:rsidRPr="0047343E" w:rsidRDefault="0017451C" w:rsidP="0017451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Первый заместитель главы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 xml:space="preserve">Е.Е. </w:t>
            </w:r>
            <w:proofErr w:type="spellStart"/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Абрамина</w:t>
            </w:r>
            <w:proofErr w:type="spellEnd"/>
          </w:p>
        </w:tc>
      </w:tr>
    </w:tbl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A537E0" w:rsidRDefault="00A537E0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112AF" w:rsidRPr="00193D1A" w:rsidRDefault="008112AF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</w:p>
    <w:p w:rsidR="00F843A6" w:rsidRDefault="00F843A6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A537E0" w:rsidRPr="00193D1A" w:rsidRDefault="00A537E0" w:rsidP="00F843A6">
      <w:pPr>
        <w:pStyle w:val="af0"/>
        <w:spacing w:line="360" w:lineRule="auto"/>
        <w:jc w:val="both"/>
        <w:rPr>
          <w:rFonts w:ascii="PT Astra Serif" w:hAnsi="PT Astra Serif"/>
          <w:sz w:val="28"/>
          <w:szCs w:val="28"/>
        </w:rPr>
      </w:pPr>
    </w:p>
    <w:p w:rsidR="00F4485D" w:rsidRPr="00193D1A" w:rsidRDefault="00F4485D" w:rsidP="00001ED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E0BCC" w:rsidRPr="00193D1A" w:rsidRDefault="00BE0BCC" w:rsidP="002A12F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50E6D" w:rsidRPr="00193D1A" w:rsidRDefault="000B4879" w:rsidP="00F843A6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</w:t>
      </w:r>
    </w:p>
    <w:p w:rsidR="00FF749B" w:rsidRPr="00193D1A" w:rsidRDefault="00477389" w:rsidP="00125BFF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515E3B" w:rsidRPr="00193D1A" w:rsidRDefault="00FF749B" w:rsidP="00FF749B">
      <w:pPr>
        <w:spacing w:after="0" w:line="36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0B3E94" w:rsidRPr="00193D1A" w:rsidRDefault="00DD5182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>дорог, повышение  безопасности дорожного движения в муниципальн</w:t>
      </w:r>
      <w:r w:rsidR="000E442C" w:rsidRPr="00193D1A"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  <w:t xml:space="preserve">ом образовании Щекинский </w:t>
      </w: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E95B4A" w:rsidRPr="00193D1A" w:rsidRDefault="00E95B4A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D84188" w:rsidRDefault="00D84188" w:rsidP="000E442C">
      <w:pPr>
        <w:spacing w:after="0" w:line="240" w:lineRule="auto"/>
        <w:jc w:val="both"/>
        <w:rPr>
          <w:rFonts w:ascii="PT Astra Serif" w:eastAsia="Times New Roman" w:hAnsi="PT Astra Serif" w:cs="Times New Roman"/>
          <w:color w:val="FFFFFF" w:themeColor="background1"/>
          <w:sz w:val="24"/>
          <w:szCs w:val="24"/>
        </w:rPr>
      </w:pPr>
    </w:p>
    <w:p w:rsidR="00365BFA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365BFA" w:rsidRPr="00F15171" w:rsidRDefault="00DE3A9D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Согласовано:</w:t>
      </w:r>
    </w:p>
    <w:p w:rsidR="00365BFA" w:rsidRPr="00F15171" w:rsidRDefault="00365BFA" w:rsidP="00DE3A9D">
      <w:pPr>
        <w:spacing w:after="0" w:line="24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</w:p>
    <w:p w:rsidR="00DE3A9D" w:rsidRPr="00F15171" w:rsidRDefault="007B51FA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О.А. Лукинова</w:t>
      </w:r>
    </w:p>
    <w:p w:rsidR="00926D2E" w:rsidRPr="00F15171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Е.Н. Афанасьева</w:t>
      </w:r>
    </w:p>
    <w:p w:rsidR="00926D2E" w:rsidRPr="00F15171" w:rsidRDefault="00DE3A9D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Д.А. Субботин</w:t>
      </w:r>
    </w:p>
    <w:p w:rsidR="00370577" w:rsidRPr="00F15171" w:rsidRDefault="00370577" w:rsidP="00370577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Л.Н. </w:t>
      </w:r>
      <w:proofErr w:type="spellStart"/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Сенюшина</w:t>
      </w:r>
      <w:proofErr w:type="spellEnd"/>
    </w:p>
    <w:p w:rsidR="00926D2E" w:rsidRPr="00F15171" w:rsidRDefault="00A537E0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В.В. Глущенко</w:t>
      </w:r>
    </w:p>
    <w:p w:rsidR="00DE3A9D" w:rsidRPr="00F15171" w:rsidRDefault="00926D2E" w:rsidP="00926D2E">
      <w:pPr>
        <w:spacing w:after="0" w:line="360" w:lineRule="auto"/>
        <w:jc w:val="right"/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</w:pPr>
      <w:r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  </w:t>
      </w:r>
      <w:r w:rsidR="00DE3A9D"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 xml:space="preserve">Т.Н. </w:t>
      </w:r>
      <w:proofErr w:type="spellStart"/>
      <w:r w:rsidR="00DE3A9D" w:rsidRPr="00F15171">
        <w:rPr>
          <w:rFonts w:ascii="PT Astra Serif" w:eastAsia="Calibri" w:hAnsi="PT Astra Serif" w:cs="Times New Roman"/>
          <w:color w:val="FFFFFF" w:themeColor="background1"/>
          <w:sz w:val="28"/>
          <w:szCs w:val="28"/>
          <w:lang w:eastAsia="en-US"/>
        </w:rPr>
        <w:t>Еремеева</w:t>
      </w:r>
      <w:proofErr w:type="spellEnd"/>
    </w:p>
    <w:p w:rsidR="00DE3A9D" w:rsidRPr="00193D1A" w:rsidRDefault="00DE3A9D" w:rsidP="00926D2E">
      <w:pPr>
        <w:spacing w:after="0" w:line="36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F15171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10.02.2021  №  2-165</w:t>
            </w:r>
            <w:bookmarkStart w:id="0" w:name="_GoBack"/>
            <w:bookmarkEnd w:id="0"/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1 502,7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85,1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1 502,7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185,1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000E2C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9 001,9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000E2C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9 001,9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9D778F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6 978,6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9D778F" w:rsidP="00AF4BAB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6 978,6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ED3725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ED3725" w:rsidRPr="00193D1A" w:rsidRDefault="00ED3725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ED3725" w:rsidRPr="00193D1A" w:rsidRDefault="00ED3725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ED3725" w:rsidRPr="00193D1A" w:rsidRDefault="00ED3725" w:rsidP="00ED3725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ED3725" w:rsidRPr="00193D1A" w:rsidRDefault="00ED3725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ED3725" w:rsidRPr="00193D1A" w:rsidRDefault="00ED3725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AF4BAB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AF4BAB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4064CE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4064CE" w:rsidRPr="000D1491" w:rsidRDefault="009D778F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9D778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131,8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D778F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9D778F" w:rsidRPr="00193D1A" w:rsidRDefault="009D778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D778F" w:rsidRPr="00193D1A" w:rsidRDefault="009D778F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9D778F" w:rsidRPr="000D1491" w:rsidRDefault="009D778F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778F" w:rsidRPr="000D1491" w:rsidRDefault="009D778F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D778F" w:rsidRPr="00193D1A" w:rsidRDefault="009D778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9D778F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9D778F" w:rsidRPr="00193D1A" w:rsidRDefault="009D778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D778F" w:rsidRPr="00193D1A" w:rsidRDefault="009D778F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9D778F" w:rsidRPr="00193D1A" w:rsidRDefault="009D778F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D778F" w:rsidRPr="00193D1A" w:rsidRDefault="009D778F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9D778F" w:rsidRPr="00193D1A" w:rsidRDefault="009D778F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9D778F" w:rsidRPr="00193D1A" w:rsidRDefault="009D778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4064CE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4064CE" w:rsidRPr="00193D1A" w:rsidRDefault="004064C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4064CE" w:rsidRPr="00193D1A" w:rsidRDefault="004064CE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064CE" w:rsidRPr="00193D1A" w:rsidRDefault="004064CE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4064CE" w:rsidRPr="00193D1A" w:rsidRDefault="004064CE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4064CE" w:rsidRPr="00193D1A" w:rsidRDefault="004064C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946B51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11 502,7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11 502,7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185,1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185,1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D8695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4D3868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11 502,7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185,1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11 502,7</w:t>
            </w:r>
          </w:p>
        </w:tc>
        <w:tc>
          <w:tcPr>
            <w:tcW w:w="936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185,1</w:t>
            </w:r>
          </w:p>
        </w:tc>
        <w:tc>
          <w:tcPr>
            <w:tcW w:w="988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D8695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5030C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934733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934733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</w:t>
      </w:r>
      <w:r>
        <w:rPr>
          <w:rFonts w:ascii="PT Astra Serif" w:eastAsia="Times New Roman" w:hAnsi="PT Astra Serif" w:cs="Times New Roman"/>
          <w:sz w:val="28"/>
          <w:szCs w:val="28"/>
        </w:rPr>
        <w:t>ого – в объеме не менее 14,32 %</w:t>
      </w:r>
      <w:r w:rsidRPr="00934733">
        <w:rPr>
          <w:rFonts w:ascii="PT Astra Serif" w:eastAsia="Times New Roman" w:hAnsi="PT Astra Serif" w:cs="Times New Roman"/>
          <w:sz w:val="28"/>
          <w:szCs w:val="28"/>
        </w:rPr>
        <w:t>.</w:t>
      </w:r>
      <w:proofErr w:type="gramEnd"/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В качестве документов, подтверждающих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положениями постановления администрации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323020" w:rsidRPr="00193D1A" w:rsidRDefault="00323020" w:rsidP="007C68F1">
      <w:pPr>
        <w:suppressAutoHyphens/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  <w:lang w:eastAsia="zh-CN"/>
        </w:rPr>
      </w:pPr>
    </w:p>
    <w:p w:rsidR="001F4E16" w:rsidRPr="00193D1A" w:rsidRDefault="001F4E16" w:rsidP="007C68F1">
      <w:pPr>
        <w:ind w:left="567" w:firstLine="142"/>
        <w:rPr>
          <w:rFonts w:ascii="PT Astra Serif" w:hAnsi="PT Astra Serif" w:cs="Arial"/>
          <w:sz w:val="24"/>
          <w:szCs w:val="24"/>
        </w:rPr>
      </w:pP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E64A63">
              <w:rPr>
                <w:rFonts w:ascii="PT Astra Serif" w:hAnsi="PT Astra Serif" w:cs="Times New Roman"/>
                <w:highlight w:val="yellow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B32AC3">
              <w:rPr>
                <w:rFonts w:ascii="PT Astra Serif" w:hAnsi="PT Astra Serif" w:cs="Times New Roman"/>
                <w:highlight w:val="yellow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B32AC3">
              <w:rPr>
                <w:rFonts w:ascii="PT Astra Serif" w:hAnsi="PT Astra Serif" w:cs="Times New Roman"/>
                <w:highlight w:val="yellow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193D1A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B32AC3">
              <w:rPr>
                <w:rFonts w:ascii="PT Astra Serif" w:hAnsi="PT Astra Serif" w:cs="Times New Roman"/>
                <w:highlight w:val="yellow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153" w:rsidRDefault="00102153">
      <w:pPr>
        <w:spacing w:after="0" w:line="240" w:lineRule="auto"/>
      </w:pPr>
      <w:r>
        <w:separator/>
      </w:r>
    </w:p>
  </w:endnote>
  <w:endnote w:type="continuationSeparator" w:id="0">
    <w:p w:rsidR="00102153" w:rsidRDefault="0010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Pr="00B5452B" w:rsidRDefault="00102153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4548577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Pr="00693702" w:rsidRDefault="00102153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7454857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153" w:rsidRDefault="00102153">
      <w:pPr>
        <w:spacing w:after="0" w:line="240" w:lineRule="auto"/>
      </w:pPr>
      <w:r>
        <w:separator/>
      </w:r>
    </w:p>
  </w:footnote>
  <w:footnote w:type="continuationSeparator" w:id="0">
    <w:p w:rsidR="00102153" w:rsidRDefault="0010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Pr="0029191F" w:rsidRDefault="00102153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000E2C" w:rsidRPr="0029191F">
          <w:fldChar w:fldCharType="begin"/>
        </w:r>
        <w:r w:rsidR="00000E2C" w:rsidRPr="0029191F">
          <w:instrText>PAGE   \* MERGEFORMAT</w:instrText>
        </w:r>
        <w:r w:rsidR="00000E2C" w:rsidRPr="0029191F">
          <w:fldChar w:fldCharType="separate"/>
        </w:r>
        <w:r w:rsidR="00F15171">
          <w:rPr>
            <w:noProof/>
          </w:rPr>
          <w:t>3</w:t>
        </w:r>
        <w:r w:rsidR="00000E2C" w:rsidRPr="0029191F">
          <w:fldChar w:fldCharType="end"/>
        </w:r>
      </w:sdtContent>
    </w:sdt>
  </w:p>
  <w:p w:rsidR="00000E2C" w:rsidRDefault="00000E2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E2C" w:rsidRDefault="00000E2C">
    <w:pPr>
      <w:pStyle w:val="a4"/>
      <w:jc w:val="center"/>
    </w:pPr>
  </w:p>
  <w:p w:rsidR="00000E2C" w:rsidRDefault="00000E2C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2153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5161D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EFF"/>
    <w:rsid w:val="006A7E2B"/>
    <w:rsid w:val="006B3709"/>
    <w:rsid w:val="006C00C6"/>
    <w:rsid w:val="006C11C2"/>
    <w:rsid w:val="006C1793"/>
    <w:rsid w:val="006C5BC6"/>
    <w:rsid w:val="006C69C9"/>
    <w:rsid w:val="006C77CA"/>
    <w:rsid w:val="006D32D5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D778F"/>
    <w:rsid w:val="009E1500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73B71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B7819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BF3A07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7053E"/>
    <w:rsid w:val="00C715C4"/>
    <w:rsid w:val="00C75C90"/>
    <w:rsid w:val="00C75E11"/>
    <w:rsid w:val="00C7671A"/>
    <w:rsid w:val="00C80329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040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32F7"/>
    <w:rsid w:val="00F05F4F"/>
    <w:rsid w:val="00F1087A"/>
    <w:rsid w:val="00F14188"/>
    <w:rsid w:val="00F14BE8"/>
    <w:rsid w:val="00F15171"/>
    <w:rsid w:val="00F15D2F"/>
    <w:rsid w:val="00F20267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AA05-D99D-4A19-BA61-A6792B7F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8507</Words>
  <Characters>48492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2021-02-08T11:53:00Z</cp:lastPrinted>
  <dcterms:created xsi:type="dcterms:W3CDTF">2021-02-11T08:37:00Z</dcterms:created>
  <dcterms:modified xsi:type="dcterms:W3CDTF">2021-02-11T08:37:00Z</dcterms:modified>
</cp:coreProperties>
</file>