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63" w:rsidRDefault="003E44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63" w:rsidRDefault="003E443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CE2263" w:rsidRDefault="003E443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E2263" w:rsidRDefault="003E443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CE2263" w:rsidRDefault="00CE226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E2263" w:rsidRDefault="003E443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E2263" w:rsidRDefault="00CE226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E2263">
        <w:trPr>
          <w:trHeight w:val="146"/>
        </w:trPr>
        <w:tc>
          <w:tcPr>
            <w:tcW w:w="5847" w:type="dxa"/>
            <w:shd w:val="clear" w:color="auto" w:fill="auto"/>
          </w:tcPr>
          <w:p w:rsidR="00CE2263" w:rsidRDefault="00C716FF">
            <w:pPr>
              <w:pStyle w:val="aff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="003E4430">
              <w:rPr>
                <w:rFonts w:ascii="PT Astra Serif" w:eastAsia="Calibri" w:hAnsi="PT Astra Serif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05.09.2025</w:t>
            </w:r>
          </w:p>
        </w:tc>
        <w:tc>
          <w:tcPr>
            <w:tcW w:w="2407" w:type="dxa"/>
            <w:shd w:val="clear" w:color="auto" w:fill="auto"/>
          </w:tcPr>
          <w:p w:rsidR="00CE2263" w:rsidRDefault="003E4430">
            <w:pPr>
              <w:pStyle w:val="aff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C716FF">
              <w:rPr>
                <w:rFonts w:ascii="PT Astra Serif" w:eastAsia="Calibri" w:hAnsi="PT Astra Serif"/>
                <w:sz w:val="28"/>
                <w:szCs w:val="28"/>
              </w:rPr>
              <w:t xml:space="preserve"> 9 – 1487</w:t>
            </w:r>
          </w:p>
        </w:tc>
      </w:tr>
    </w:tbl>
    <w:p w:rsidR="00CE2263" w:rsidRDefault="00CE2263">
      <w:pPr>
        <w:rPr>
          <w:rFonts w:ascii="PT Astra Serif" w:hAnsi="PT Astra Serif" w:cs="PT Astra Serif"/>
          <w:szCs w:val="20"/>
        </w:rPr>
      </w:pPr>
    </w:p>
    <w:p w:rsidR="00CE2263" w:rsidRDefault="00CE2263">
      <w:pPr>
        <w:rPr>
          <w:rFonts w:ascii="PT Astra Serif" w:hAnsi="PT Astra Serif" w:cs="PT Astra Serif"/>
          <w:szCs w:val="20"/>
        </w:rPr>
      </w:pPr>
    </w:p>
    <w:p w:rsidR="00CE2263" w:rsidRDefault="003E4430">
      <w:pPr>
        <w:spacing w:line="300" w:lineRule="exact"/>
        <w:ind w:left="794" w:right="107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CE2263" w:rsidRDefault="003E4430">
      <w:pPr>
        <w:spacing w:line="300" w:lineRule="exact"/>
        <w:ind w:left="794" w:right="107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по предоставлению </w:t>
      </w:r>
      <w:r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услуги «</w:t>
      </w:r>
      <w:r>
        <w:rPr>
          <w:rFonts w:ascii="PT Astra Serif" w:hAnsi="PT Astra Serif"/>
          <w:b/>
          <w:sz w:val="28"/>
          <w:szCs w:val="28"/>
        </w:rPr>
        <w:t xml:space="preserve">Предоставление письменных разъяснений налоговым органам, налогоплательщикам и налоговым агентам </w:t>
      </w:r>
    </w:p>
    <w:p w:rsidR="00CE2263" w:rsidRDefault="003E4430">
      <w:pPr>
        <w:spacing w:line="300" w:lineRule="exact"/>
        <w:ind w:left="794" w:right="107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 вопросам применения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нормативных правовых актов о местных налогах и сборах»</w:t>
      </w:r>
    </w:p>
    <w:p w:rsidR="00CE2263" w:rsidRDefault="00CE2263">
      <w:pPr>
        <w:jc w:val="center"/>
        <w:rPr>
          <w:rFonts w:ascii="PT Astra Serif" w:hAnsi="PT Astra Serif" w:cs="PT Astra Serif"/>
          <w:szCs w:val="20"/>
          <w:lang w:eastAsia="zh-CN"/>
        </w:rPr>
      </w:pPr>
    </w:p>
    <w:p w:rsidR="00CE2263" w:rsidRDefault="00CE2263">
      <w:pPr>
        <w:jc w:val="center"/>
        <w:rPr>
          <w:rFonts w:ascii="PT Astra Serif" w:hAnsi="PT Astra Serif" w:cs="PT Astra Serif"/>
          <w:szCs w:val="20"/>
          <w:lang w:eastAsia="zh-CN"/>
        </w:rPr>
      </w:pPr>
    </w:p>
    <w:p w:rsidR="00CE2263" w:rsidRDefault="003E4430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CE2263" w:rsidRDefault="003E4430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1. Утвердить административный регламент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(приложение).</w:t>
      </w:r>
    </w:p>
    <w:p w:rsidR="00CE2263" w:rsidRDefault="003E4430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2. Признать утратившим силу постановление администрации муниципального образования Щекинский район от 18.12.2024 № 12-1555  «Об утверждении административного регламента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актов о местных налогах и сборах».</w:t>
      </w:r>
    </w:p>
    <w:p w:rsidR="00CE2263" w:rsidRDefault="003E4430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Постановление обнародовать путем опубликования, разместив                его полный текст в сетевом издании «Щекинский муниципальный        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:rsidR="00CE2263" w:rsidRDefault="003E4430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4. Постановление вступает в силу со дня официального обнародования.</w:t>
      </w:r>
    </w:p>
    <w:p w:rsidR="00CE2263" w:rsidRDefault="00CE2263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E2263" w:rsidRDefault="00CE2263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E2263" w:rsidRDefault="00CE2263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3"/>
        <w:gridCol w:w="2959"/>
      </w:tblGrid>
      <w:tr w:rsidR="00CE2263">
        <w:trPr>
          <w:trHeight w:val="229"/>
        </w:trPr>
        <w:tc>
          <w:tcPr>
            <w:tcW w:w="4075" w:type="dxa"/>
          </w:tcPr>
          <w:p w:rsidR="00CE2263" w:rsidRDefault="003E4430">
            <w:pPr>
              <w:ind w:right="-11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vAlign w:val="center"/>
          </w:tcPr>
          <w:p w:rsidR="00CE2263" w:rsidRDefault="00CE2263">
            <w:pPr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892" w:type="dxa"/>
            <w:vAlign w:val="bottom"/>
          </w:tcPr>
          <w:p w:rsidR="00CE2263" w:rsidRDefault="003E443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E2263" w:rsidRDefault="00CE2263">
      <w:pPr>
        <w:sectPr w:rsidR="00CE2263">
          <w:headerReference w:type="default" r:id="rId10"/>
          <w:pgSz w:w="11906" w:h="16838"/>
          <w:pgMar w:top="1191" w:right="850" w:bottom="1134" w:left="1701" w:header="1134" w:footer="0" w:gutter="0"/>
          <w:cols w:space="720"/>
          <w:formProt w:val="0"/>
          <w:titlePg/>
          <w:docGrid w:linePitch="360"/>
        </w:sectPr>
      </w:pPr>
    </w:p>
    <w:p w:rsidR="00CE2263" w:rsidRDefault="00CE2263">
      <w:pPr>
        <w:rPr>
          <w:rFonts w:ascii="PT Astra Serif" w:hAnsi="PT Astra Serif"/>
        </w:rPr>
      </w:pPr>
    </w:p>
    <w:tbl>
      <w:tblPr>
        <w:tblW w:w="4307" w:type="dxa"/>
        <w:jc w:val="right"/>
        <w:tblLayout w:type="fixed"/>
        <w:tblLook w:val="04A0" w:firstRow="1" w:lastRow="0" w:firstColumn="1" w:lastColumn="0" w:noHBand="0" w:noVBand="1"/>
      </w:tblPr>
      <w:tblGrid>
        <w:gridCol w:w="4307"/>
      </w:tblGrid>
      <w:tr w:rsidR="00CE2263">
        <w:trPr>
          <w:trHeight w:val="2046"/>
          <w:jc w:val="right"/>
        </w:trPr>
        <w:tc>
          <w:tcPr>
            <w:tcW w:w="4307" w:type="dxa"/>
            <w:vAlign w:val="center"/>
          </w:tcPr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CE2263" w:rsidRDefault="00CE2263">
            <w:pPr>
              <w:overflowPunct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CE2263" w:rsidRDefault="003E4430" w:rsidP="00C716FF">
            <w:pPr>
              <w:tabs>
                <w:tab w:val="left" w:pos="2254"/>
              </w:tabs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C716FF">
              <w:rPr>
                <w:rFonts w:ascii="PT Astra Serif" w:hAnsi="PT Astra Serif"/>
                <w:sz w:val="28"/>
                <w:szCs w:val="28"/>
                <w:lang w:eastAsia="ru-RU"/>
              </w:rPr>
              <w:t>05.09.2025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C716FF">
              <w:rPr>
                <w:rFonts w:ascii="PT Astra Serif" w:hAnsi="PT Astra Serif"/>
                <w:sz w:val="28"/>
                <w:szCs w:val="28"/>
                <w:lang w:eastAsia="ru-RU"/>
              </w:rPr>
              <w:t>9 – 1487</w:t>
            </w:r>
          </w:p>
        </w:tc>
      </w:tr>
      <w:tr w:rsidR="00CE2263">
        <w:trPr>
          <w:trHeight w:val="934"/>
          <w:jc w:val="right"/>
        </w:trPr>
        <w:tc>
          <w:tcPr>
            <w:tcW w:w="4307" w:type="dxa"/>
          </w:tcPr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E2263" w:rsidRDefault="003E4430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CE2263" w:rsidRDefault="00CE2263">
            <w:pPr>
              <w:overflowPunct w:val="0"/>
              <w:jc w:val="center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CE2263" w:rsidRDefault="00C716FF">
            <w:pPr>
              <w:overflowPunct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05.09.2025 № 9 – 1487</w:t>
            </w:r>
            <w:bookmarkStart w:id="0" w:name="_GoBack"/>
            <w:bookmarkEnd w:id="0"/>
          </w:p>
        </w:tc>
      </w:tr>
    </w:tbl>
    <w:p w:rsidR="00CE2263" w:rsidRDefault="00CE2263">
      <w:pPr>
        <w:jc w:val="center"/>
        <w:rPr>
          <w:rFonts w:ascii="PT Astra Serif" w:hAnsi="PT Astra Serif"/>
          <w:b/>
          <w:sz w:val="28"/>
          <w:szCs w:val="28"/>
        </w:rPr>
      </w:pPr>
    </w:p>
    <w:p w:rsidR="00CE2263" w:rsidRDefault="00CE2263">
      <w:pPr>
        <w:jc w:val="center"/>
        <w:rPr>
          <w:rFonts w:ascii="PT Astra Serif" w:hAnsi="PT Astra Serif"/>
        </w:rPr>
      </w:pPr>
    </w:p>
    <w:p w:rsidR="00CE2263" w:rsidRDefault="00CE2263">
      <w:pPr>
        <w:ind w:left="567"/>
        <w:jc w:val="center"/>
        <w:rPr>
          <w:rFonts w:ascii="PT Astra Serif" w:hAnsi="PT Astra Serif"/>
        </w:rPr>
      </w:pPr>
    </w:p>
    <w:p w:rsidR="00CE2263" w:rsidRDefault="00CE2263">
      <w:pPr>
        <w:jc w:val="center"/>
        <w:rPr>
          <w:rFonts w:ascii="PT Astra Serif" w:hAnsi="PT Astra Serif"/>
        </w:rPr>
      </w:pPr>
    </w:p>
    <w:p w:rsidR="00CE2263" w:rsidRDefault="00CE2263">
      <w:pPr>
        <w:jc w:val="center"/>
        <w:rPr>
          <w:rFonts w:ascii="PT Astra Serif" w:hAnsi="PT Astra Serif"/>
        </w:rPr>
      </w:pPr>
    </w:p>
    <w:p w:rsidR="00CE2263" w:rsidRDefault="00CE2263">
      <w:pPr>
        <w:jc w:val="center"/>
        <w:rPr>
          <w:rFonts w:ascii="PT Astra Serif" w:hAnsi="PT Astra Serif"/>
        </w:rPr>
      </w:pPr>
    </w:p>
    <w:p w:rsidR="00CE2263" w:rsidRDefault="00CE2263">
      <w:pPr>
        <w:jc w:val="center"/>
        <w:rPr>
          <w:rFonts w:ascii="PT Astra Serif" w:hAnsi="PT Astra Serif"/>
        </w:rPr>
      </w:pPr>
    </w:p>
    <w:p w:rsidR="00CE2263" w:rsidRDefault="003E443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CE2263" w:rsidRDefault="003E4430">
      <w:pPr>
        <w:ind w:left="850" w:right="85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CE2263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CE2263" w:rsidRDefault="003E4430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</w:rPr>
        <w:lastRenderedPageBreak/>
        <w:t>I. Общие положения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категориями (признаками)  заявителей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Определение категории (признака) заявителей осуществляется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CE2263" w:rsidRDefault="003E4430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</w:rPr>
        <w:t>II.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CE2263" w:rsidRDefault="003E4430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Щекино Щекинского района о местных налогах и сборах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Услуга предоставляется финансовым управлением а</w:t>
      </w:r>
      <w:r>
        <w:rPr>
          <w:rFonts w:ascii="PT Astra Serif" w:hAnsi="PT Astra Serif"/>
          <w:bCs/>
          <w:sz w:val="28"/>
          <w:szCs w:val="28"/>
        </w:rPr>
        <w:t>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Щекинский район </w:t>
      </w:r>
      <w:r>
        <w:rPr>
          <w:rFonts w:ascii="PT Astra Serif" w:hAnsi="PT Astra Serif"/>
          <w:sz w:val="28"/>
          <w:szCs w:val="28"/>
          <w:lang w:eastAsia="ru-RU"/>
        </w:rPr>
        <w:t>(далее – финансовый орган)</w:t>
      </w:r>
      <w:r>
        <w:rPr>
          <w:rFonts w:ascii="PT Astra Serif" w:hAnsi="PT Astra Serif"/>
          <w:sz w:val="28"/>
          <w:szCs w:val="28"/>
        </w:rPr>
        <w:t>.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При обращении заявителя за п</w:t>
      </w:r>
      <w:r>
        <w:rPr>
          <w:rFonts w:ascii="PT Astra Serif" w:hAnsi="PT Astra Serif"/>
          <w:sz w:val="28"/>
          <w:szCs w:val="28"/>
        </w:rPr>
        <w:t>редоставлением письменных разъяснений результатами предоставления Услуги являются:</w:t>
      </w:r>
    </w:p>
    <w:p w:rsidR="00CE2263" w:rsidRDefault="003E4430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CE2263" w:rsidRDefault="003E4430">
      <w:pPr>
        <w:numPr>
          <w:ilvl w:val="1"/>
          <w:numId w:val="3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E2263" w:rsidRDefault="003E443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E2263" w:rsidRDefault="003E443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CE2263" w:rsidRDefault="003E4430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rFonts w:ascii="PT Astra Serif" w:hAnsi="PT Astra Serif"/>
          <w:bCs/>
          <w:sz w:val="28"/>
          <w:szCs w:val="28"/>
          <w:lang w:eastAsia="ru-RU"/>
        </w:rPr>
        <w:t>44 рабочих дня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CE2263" w:rsidRDefault="003E4430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с учетом категории (признаков) заявителя и способа подачи указанного запроса. </w:t>
      </w:r>
    </w:p>
    <w:p w:rsidR="00CE2263" w:rsidRDefault="00CE2263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E2263" w:rsidRDefault="003E4430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CE2263" w:rsidRDefault="003E4430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CE2263" w:rsidRDefault="00CE2263">
      <w:pPr>
        <w:keepNext/>
        <w:keepLines/>
        <w:jc w:val="center"/>
        <w:outlineLvl w:val="1"/>
        <w:rPr>
          <w:rFonts w:ascii="PT Astra Serif" w:hAnsi="PT Astra Serif"/>
        </w:rPr>
      </w:pP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регламента. </w:t>
      </w: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CE2263" w:rsidRDefault="00CE2263">
      <w:pPr>
        <w:tabs>
          <w:tab w:val="left" w:pos="1276"/>
        </w:tabs>
        <w:spacing w:after="160"/>
        <w:contextualSpacing/>
        <w:jc w:val="both"/>
      </w:pPr>
    </w:p>
    <w:p w:rsidR="00CE2263" w:rsidRDefault="003E4430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 xml:space="preserve">в приеме запроса и документов, необходимых </w:t>
      </w:r>
    </w:p>
    <w:p w:rsidR="00CE2263" w:rsidRDefault="003E4430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для предоставления Услуги</w:t>
      </w:r>
    </w:p>
    <w:p w:rsidR="00CE2263" w:rsidRDefault="00CE2263">
      <w:pPr>
        <w:keepNext/>
        <w:keepLines/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>
        <w:rPr>
          <w:rFonts w:ascii="PT Astra Serif" w:hAnsi="PT Astra Serif"/>
          <w:bCs/>
          <w:sz w:val="28"/>
          <w:szCs w:val="28"/>
          <w:lang w:eastAsia="ru-RU"/>
        </w:rPr>
        <w:t>запроса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  <w:lang w:eastAsia="ru-RU"/>
        </w:rPr>
        <w:t>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приведены в разделе III настоящего Административного регламента.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не предусмотрены.</w:t>
      </w: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регламента.</w:t>
      </w:r>
    </w:p>
    <w:p w:rsidR="00CE2263" w:rsidRDefault="003E4430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  <w:lang w:eastAsia="ru-RU"/>
        </w:rPr>
        <w:t>запроса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запроса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CE2263" w:rsidRDefault="003E4430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запроса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21. Срок регистрации запроса и документов, необходимых для предоставления Услуги, составляет 2 рабочих дня</w:t>
      </w:r>
      <w:r>
        <w:rPr>
          <w:rFonts w:ascii="PT Astra Serif" w:hAnsi="PT Astra Serif"/>
          <w:sz w:val="28"/>
          <w:szCs w:val="28"/>
        </w:rPr>
        <w:t>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22. Требования к помещениям, в которых предоставляется Услуга, размещены на официальном сайте финансового органа в сети «Интернет», а также на Едином портале.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23. Показатели доступности и качества Услуги размещены на официальном сайте финансового органа в сети «Интернет», а также на Едином портале.</w:t>
      </w:r>
    </w:p>
    <w:p w:rsidR="00CE2263" w:rsidRDefault="003E4430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24.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E2263" w:rsidRDefault="00CE2263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E2263" w:rsidRDefault="003E4430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CE2263" w:rsidRDefault="003E4430">
      <w:pPr>
        <w:keepNext/>
        <w:keepLines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административных процедур</w:t>
      </w:r>
    </w:p>
    <w:p w:rsidR="00CE2263" w:rsidRDefault="00CE226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25. При обращении заявителя за предоставлением письменных разъяснений налоговым органам, налогоплательщикам и налоговым агентам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по вопросам применения муниципальных нормативных правовых актов о местных налогах и сборах Услуга предоставляется в соответствии с категориями заявителей:</w:t>
      </w:r>
    </w:p>
    <w:p w:rsidR="00CE2263" w:rsidRDefault="003E4430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а) физическое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лицо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обратился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лично</w:t>
      </w:r>
      <w:r>
        <w:rPr>
          <w:rFonts w:ascii="PT Astra Serif" w:hAnsi="PT Astra Serif"/>
          <w:sz w:val="28"/>
          <w:szCs w:val="28"/>
        </w:rPr>
        <w:t>;</w:t>
      </w:r>
    </w:p>
    <w:p w:rsidR="00CE2263" w:rsidRDefault="003E4430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б) физическое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лицо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уполномоченный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представитель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доверенности</w:t>
      </w:r>
      <w:r>
        <w:rPr>
          <w:rFonts w:ascii="PT Astra Serif" w:hAnsi="PT Astra Serif"/>
          <w:sz w:val="28"/>
          <w:szCs w:val="28"/>
        </w:rPr>
        <w:t>;</w:t>
      </w:r>
    </w:p>
    <w:p w:rsidR="00CE2263" w:rsidRDefault="003E4430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в) юридическое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лицо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обратился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лично</w:t>
      </w:r>
      <w:r>
        <w:rPr>
          <w:rFonts w:ascii="PT Astra Serif" w:hAnsi="PT Astra Serif"/>
          <w:sz w:val="28"/>
          <w:szCs w:val="28"/>
        </w:rPr>
        <w:t>;</w:t>
      </w:r>
    </w:p>
    <w:p w:rsidR="00CE2263" w:rsidRDefault="003E4430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г) юридическое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лицо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уполномоченный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представитель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доверенности</w:t>
      </w:r>
      <w:r>
        <w:rPr>
          <w:rFonts w:ascii="PT Astra Serif" w:hAnsi="PT Astra Serif"/>
          <w:sz w:val="28"/>
          <w:szCs w:val="28"/>
        </w:rPr>
        <w:t>.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26. Возможность оставления запроса без рассмотрения не предусмотрена.</w:t>
      </w:r>
    </w:p>
    <w:p w:rsidR="00CE2263" w:rsidRDefault="003E443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27. Категория заявителя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E2263" w:rsidRDefault="003E443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Профилирование осуществляется:</w:t>
      </w:r>
    </w:p>
    <w:p w:rsidR="00CE2263" w:rsidRDefault="003E4430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а) при личном обращении в финансовый орган;</w:t>
      </w:r>
    </w:p>
    <w:p w:rsidR="00CE2263" w:rsidRDefault="003E443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б) посредством почтовой связи;</w:t>
      </w:r>
    </w:p>
    <w:p w:rsidR="00CE2263" w:rsidRDefault="003E4430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в) посредством электронной почты.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28.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CE2263" w:rsidRDefault="003E44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29. Максимальный срок предоставления  Услуги составляет 44 рабочих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и документов, необходимых для предоставления Услуги.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30. Результатом предоставления  Услуги являются: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CE2263" w:rsidRDefault="003E443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CE2263" w:rsidRDefault="003E443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E2263" w:rsidRDefault="003E443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31. Документ, содержащий решение о предоставлении Услуги, настоящим Административным регламентом не предусмотрен.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32. Административные процедуры, осуществляемые при предоставлении Услуги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 :</w:t>
      </w:r>
      <w:proofErr w:type="gramEnd"/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а) прием запроса и документов и (или) информации, необходимых для предоставления Услуги;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б) принятие решения о предоставлении (об отказе в предоставлении) Услуги;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в) предоставление результата Услуги. </w:t>
      </w:r>
    </w:p>
    <w:p w:rsidR="00CE2263" w:rsidRDefault="00CE2263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CE2263" w:rsidRDefault="003E4430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запроса и документов и (или) информации, </w:t>
      </w:r>
    </w:p>
    <w:p w:rsidR="00CE2263" w:rsidRDefault="003E4430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CE2263" w:rsidRDefault="00CE2263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33.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E2263" w:rsidRDefault="003E443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а) при личном обращении физического лица - документы, подтверждающие личность лица, – паспорт гражданина Российской Федерации (предъявление оригинала документа);</w:t>
      </w:r>
    </w:p>
    <w:p w:rsidR="00CE2263" w:rsidRDefault="003E443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б) при обращении уполномоченного представителя физического лица  (по доверенности) - 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документа);</w:t>
      </w:r>
    </w:p>
    <w:p w:rsidR="00CE2263" w:rsidRDefault="003E443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 личном обращении юридического лица перечень документов, необходимых для предоставления Услуги, которые заявитель должен представить самостоятельно, законодательными и иными нормативными правовыми актами Российской Федерации не предусмотрены.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36. Способами установления личности (идентификации) заявителя при взаимодействии с заявителями являются: </w:t>
      </w:r>
    </w:p>
    <w:p w:rsidR="00CE2263" w:rsidRDefault="003E443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а) при личном обращении в финансовый орган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E2263" w:rsidRDefault="003E443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б) посредством почтовой связи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установление личности не требуется;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E2263" w:rsidRDefault="003E4430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в) посредством электронной почты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37. Основания для отказа в приеме запроса и документов законодательством Российской Федерации не предусмотрены.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38. Услуга предусматривает возможность приема запроса и документов, необходимых для предоставления 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39. Срок регистрации запроса и документов, необходимых для предоставления Услуги, составляет 2 рабочих дня.</w:t>
      </w:r>
    </w:p>
    <w:p w:rsidR="00CE2263" w:rsidRDefault="00CE2263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CE2263" w:rsidRDefault="003E4430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CE2263" w:rsidRDefault="003E4430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CE2263" w:rsidRDefault="00CE2263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40. Финансовый орган отказывает заявителю в предоставлении Услуги при наличии следующих оснований: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а) подача запроса лицом, не уполномоченным заявителем на осуществление таких действий;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б) текст запроса заявителя о предоставлении муниципальной услуги не поддается прочтению;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41. 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42. 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CE2263" w:rsidRDefault="00CE2263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CE2263" w:rsidRDefault="003E4430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43. Способы получения результата предоставления Услуги: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45.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CE2263" w:rsidRDefault="00CE226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263" w:rsidRDefault="003E4430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</w:rPr>
        <w:sectPr w:rsidR="00CE2263">
          <w:headerReference w:type="default" r:id="rId11"/>
          <w:headerReference w:type="first" r:id="rId12"/>
          <w:pgSz w:w="11906" w:h="16838"/>
          <w:pgMar w:top="766" w:right="857" w:bottom="1134" w:left="1710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PT Astra Serif" w:hAnsi="PT Astra Serif"/>
        </w:rPr>
        <w:t>__________________________________________________________</w:t>
      </w:r>
    </w:p>
    <w:tbl>
      <w:tblPr>
        <w:tblW w:w="4482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CE2263">
        <w:trPr>
          <w:trHeight w:val="1846"/>
        </w:trPr>
        <w:tc>
          <w:tcPr>
            <w:tcW w:w="4482" w:type="dxa"/>
          </w:tcPr>
          <w:p w:rsidR="00CE2263" w:rsidRDefault="003E4430">
            <w:pPr>
              <w:suppressAutoHyphens w:val="0"/>
              <w:overflowPunct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CE2263" w:rsidRDefault="003E4430">
            <w:pPr>
              <w:suppressAutoHyphens w:val="0"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 «Предоставление письменных разъясн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ний налоговым органам, налогоплател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ь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щикам и налоговым агентам по вопросам применения муниципальных нормати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ных правовых актов о местных налогах и сборах»</w:t>
            </w:r>
          </w:p>
        </w:tc>
      </w:tr>
    </w:tbl>
    <w:p w:rsidR="00CE2263" w:rsidRDefault="00CE2263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E2263" w:rsidRDefault="003E4430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 профилирования заявителя</w:t>
      </w:r>
    </w:p>
    <w:p w:rsidR="00CE2263" w:rsidRDefault="003E4430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Таблица 1. Круг заявителей </w:t>
      </w:r>
    </w:p>
    <w:tbl>
      <w:tblPr>
        <w:tblStyle w:val="3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CE2263">
        <w:trPr>
          <w:trHeight w:val="567"/>
        </w:trPr>
        <w:tc>
          <w:tcPr>
            <w:tcW w:w="1134" w:type="dxa"/>
            <w:vAlign w:val="center"/>
          </w:tcPr>
          <w:p w:rsidR="00CE2263" w:rsidRDefault="003E4430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8334" w:type="dxa"/>
            <w:vAlign w:val="center"/>
          </w:tcPr>
          <w:p w:rsidR="00CE2263" w:rsidRDefault="003E4430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CE2263">
        <w:trPr>
          <w:trHeight w:val="426"/>
        </w:trPr>
        <w:tc>
          <w:tcPr>
            <w:tcW w:w="9468" w:type="dxa"/>
            <w:gridSpan w:val="2"/>
            <w:vAlign w:val="center"/>
          </w:tcPr>
          <w:p w:rsidR="00CE2263" w:rsidRDefault="003E4430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/>
                <w:b/>
                <w:bCs/>
                <w:i/>
                <w:szCs w:val="20"/>
              </w:rPr>
              <w:t>»</w:t>
            </w:r>
          </w:p>
        </w:tc>
      </w:tr>
      <w:tr w:rsidR="00CE2263">
        <w:trPr>
          <w:trHeight w:val="435"/>
        </w:trPr>
        <w:tc>
          <w:tcPr>
            <w:tcW w:w="1134" w:type="dxa"/>
            <w:vAlign w:val="center"/>
          </w:tcPr>
          <w:p w:rsidR="00CE2263" w:rsidRDefault="00CE2263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CE2263" w:rsidRDefault="003E4430">
            <w:pPr>
              <w:keepNext/>
              <w:keepLines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Физическое лицо, обратился лично</w:t>
            </w:r>
          </w:p>
        </w:tc>
      </w:tr>
      <w:tr w:rsidR="00CE2263">
        <w:trPr>
          <w:trHeight w:val="435"/>
        </w:trPr>
        <w:tc>
          <w:tcPr>
            <w:tcW w:w="1134" w:type="dxa"/>
            <w:vAlign w:val="center"/>
          </w:tcPr>
          <w:p w:rsidR="00CE2263" w:rsidRDefault="00CE2263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CE2263" w:rsidRDefault="003E4430">
            <w:pPr>
              <w:keepNext/>
              <w:keepLines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CE2263">
        <w:trPr>
          <w:trHeight w:val="435"/>
        </w:trPr>
        <w:tc>
          <w:tcPr>
            <w:tcW w:w="1134" w:type="dxa"/>
            <w:vAlign w:val="center"/>
          </w:tcPr>
          <w:p w:rsidR="00CE2263" w:rsidRDefault="00CE2263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CE2263" w:rsidRDefault="003E4430">
            <w:pPr>
              <w:keepNext/>
              <w:keepLines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Юридическое лицо, обратился лично</w:t>
            </w:r>
          </w:p>
        </w:tc>
      </w:tr>
      <w:tr w:rsidR="00CE2263">
        <w:trPr>
          <w:trHeight w:val="435"/>
        </w:trPr>
        <w:tc>
          <w:tcPr>
            <w:tcW w:w="1134" w:type="dxa"/>
            <w:vAlign w:val="center"/>
          </w:tcPr>
          <w:p w:rsidR="00CE2263" w:rsidRDefault="00CE2263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CE2263" w:rsidRDefault="003E4430">
            <w:pPr>
              <w:keepNext/>
              <w:keepLines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CE2263" w:rsidRDefault="00CE2263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263" w:rsidRDefault="003E443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7"/>
        <w:gridCol w:w="5368"/>
      </w:tblGrid>
      <w:tr w:rsidR="00CE226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3E443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3E443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3E443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CE2263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3E443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/>
                <w:i/>
                <w:szCs w:val="20"/>
              </w:rPr>
              <w:t>»</w:t>
            </w:r>
          </w:p>
        </w:tc>
      </w:tr>
      <w:tr w:rsidR="00CE22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CE2263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3E4430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Категория заявителя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63" w:rsidRDefault="00CE226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CE2263" w:rsidRDefault="003E443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Физическое лицо</w:t>
            </w:r>
          </w:p>
          <w:p w:rsidR="00CE2263" w:rsidRDefault="003E443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Юридическое лицо</w:t>
            </w:r>
          </w:p>
        </w:tc>
      </w:tr>
      <w:tr w:rsidR="00CE22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CE2263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263" w:rsidRDefault="003E4430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63" w:rsidRDefault="00CE226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CE2263" w:rsidRDefault="003E443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CE2263" w:rsidRDefault="003E4430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Уполномоченный представитель</w:t>
            </w:r>
          </w:p>
          <w:p w:rsidR="00CE2263" w:rsidRDefault="003E443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доверенности</w:t>
            </w:r>
          </w:p>
        </w:tc>
      </w:tr>
    </w:tbl>
    <w:p w:rsidR="00CE2263" w:rsidRDefault="003E4430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tbl>
      <w:tblPr>
        <w:tblW w:w="4482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CE2263">
        <w:trPr>
          <w:trHeight w:val="1846"/>
        </w:trPr>
        <w:tc>
          <w:tcPr>
            <w:tcW w:w="4482" w:type="dxa"/>
          </w:tcPr>
          <w:p w:rsidR="00CE2263" w:rsidRDefault="003E4430">
            <w:pPr>
              <w:pageBreakBefore/>
              <w:suppressAutoHyphens w:val="0"/>
              <w:overflowPunct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CE2263" w:rsidRDefault="003E4430">
            <w:pPr>
              <w:suppressAutoHyphens w:val="0"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 «Предоставление письменных разъясн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ний налоговым органам, налогоплател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ь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щикам и налоговым агентам по вопросам применения муниципальных нормати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ных правовых актов о местных налогах и сборах»</w:t>
            </w:r>
          </w:p>
        </w:tc>
      </w:tr>
    </w:tbl>
    <w:p w:rsidR="00CE2263" w:rsidRDefault="00CE2263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E2263" w:rsidRDefault="00CE226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</w:p>
    <w:p w:rsidR="00CE2263" w:rsidRDefault="003E4430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CE2263" w:rsidRDefault="00CE226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CE2263" w:rsidRDefault="003E4430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Запрос</w:t>
      </w:r>
    </w:p>
    <w:p w:rsidR="00CE2263" w:rsidRDefault="003E443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</w:t>
      </w:r>
    </w:p>
    <w:p w:rsidR="00CE2263" w:rsidRDefault="003E443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вопросам применения </w:t>
      </w:r>
      <w:proofErr w:type="gramStart"/>
      <w:r>
        <w:rPr>
          <w:rFonts w:ascii="PT Astra Serif" w:hAnsi="PT Astra Serif"/>
          <w:sz w:val="28"/>
          <w:szCs w:val="28"/>
        </w:rPr>
        <w:t>муниципальных</w:t>
      </w:r>
      <w:proofErr w:type="gramEnd"/>
      <w:r>
        <w:rPr>
          <w:rFonts w:ascii="PT Astra Serif" w:hAnsi="PT Astra Serif"/>
          <w:sz w:val="28"/>
          <w:szCs w:val="28"/>
        </w:rPr>
        <w:t xml:space="preserve"> нормативных </w:t>
      </w:r>
    </w:p>
    <w:p w:rsidR="00CE2263" w:rsidRDefault="003E4430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правовых актов о местных налогах и сборах»</w:t>
      </w:r>
    </w:p>
    <w:p w:rsidR="00CE2263" w:rsidRDefault="00CE2263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sectPr w:rsidR="00CE2263">
      <w:headerReference w:type="default" r:id="rId13"/>
      <w:headerReference w:type="first" r:id="rId14"/>
      <w:pgSz w:w="11906" w:h="16838"/>
      <w:pgMar w:top="766" w:right="857" w:bottom="1134" w:left="1710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E2" w:rsidRDefault="001163E2">
      <w:r>
        <w:separator/>
      </w:r>
    </w:p>
  </w:endnote>
  <w:endnote w:type="continuationSeparator" w:id="0">
    <w:p w:rsidR="001163E2" w:rsidRDefault="0011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E2" w:rsidRDefault="001163E2">
      <w:r>
        <w:separator/>
      </w:r>
    </w:p>
  </w:footnote>
  <w:footnote w:type="continuationSeparator" w:id="0">
    <w:p w:rsidR="001163E2" w:rsidRDefault="0011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651344"/>
      <w:docPartObj>
        <w:docPartGallery w:val="Page Numbers (Top of Page)"/>
        <w:docPartUnique/>
      </w:docPartObj>
    </w:sdtPr>
    <w:sdtEndPr/>
    <w:sdtContent>
      <w:p w:rsidR="00CE2263" w:rsidRDefault="003E4430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C716FF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CE2263" w:rsidRDefault="001163E2">
        <w:pPr>
          <w:pStyle w:val="ab"/>
          <w:rPr>
            <w:rFonts w:ascii="PT Astra Serif" w:hAnsi="PT Astra Serif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81189"/>
      <w:docPartObj>
        <w:docPartGallery w:val="Page Numbers (Top of Page)"/>
        <w:docPartUnique/>
      </w:docPartObj>
    </w:sdtPr>
    <w:sdtEndPr/>
    <w:sdtContent>
      <w:p w:rsidR="00CE2263" w:rsidRDefault="003E4430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C716FF">
          <w:rPr>
            <w:rFonts w:ascii="PT Astra Serif" w:hAnsi="PT Astra Serif"/>
            <w:noProof/>
            <w:sz w:val="28"/>
            <w:szCs w:val="28"/>
          </w:rPr>
          <w:t>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CE2263" w:rsidRDefault="001163E2">
        <w:pPr>
          <w:pStyle w:val="ab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63" w:rsidRDefault="00CE22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770387"/>
      <w:docPartObj>
        <w:docPartGallery w:val="Page Numbers (Top of Page)"/>
        <w:docPartUnique/>
      </w:docPartObj>
    </w:sdtPr>
    <w:sdtEndPr/>
    <w:sdtContent>
      <w:p w:rsidR="00CE2263" w:rsidRDefault="003E4430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C716FF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CE2263" w:rsidRDefault="001163E2">
        <w:pPr>
          <w:pStyle w:val="ab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63" w:rsidRDefault="00CE22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EAD"/>
    <w:multiLevelType w:val="multilevel"/>
    <w:tmpl w:val="49AA61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PT Astra Serif" w:hAnsi="PT Astra Serif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364A0415"/>
    <w:multiLevelType w:val="multilevel"/>
    <w:tmpl w:val="97B45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A24B79"/>
    <w:multiLevelType w:val="multilevel"/>
    <w:tmpl w:val="291C875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6344645A"/>
    <w:multiLevelType w:val="multilevel"/>
    <w:tmpl w:val="35B25A1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63"/>
    <w:rsid w:val="001163E2"/>
    <w:rsid w:val="003E4430"/>
    <w:rsid w:val="003F39EE"/>
    <w:rsid w:val="00C716FF"/>
    <w:rsid w:val="00C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customStyle="1" w:styleId="af9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e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f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0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styleId="aff1">
    <w:name w:val="Normal (Web)"/>
    <w:basedOn w:val="a"/>
    <w:uiPriority w:val="99"/>
    <w:semiHidden/>
    <w:unhideWhenUsed/>
    <w:qFormat/>
    <w:rsid w:val="002A2825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customStyle="1" w:styleId="af9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e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f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0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styleId="aff1">
    <w:name w:val="Normal (Web)"/>
    <w:basedOn w:val="a"/>
    <w:uiPriority w:val="99"/>
    <w:semiHidden/>
    <w:unhideWhenUsed/>
    <w:qFormat/>
    <w:rsid w:val="002A2825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2D06-F51C-4370-AE8D-9B543F32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cp:lastPrinted>2025-09-05T09:46:00Z</cp:lastPrinted>
  <dcterms:created xsi:type="dcterms:W3CDTF">2025-09-05T09:47:00Z</dcterms:created>
  <dcterms:modified xsi:type="dcterms:W3CDTF">2025-09-05T09:47:00Z</dcterms:modified>
  <dc:language>ru-RU</dc:language>
</cp:coreProperties>
</file>