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165B2F" w:rsidRDefault="008C1125" w:rsidP="005F6D36">
      <w:pPr>
        <w:jc w:val="center"/>
        <w:rPr>
          <w:rFonts w:ascii="PT Astra Serif" w:hAnsi="PT Astra Serif"/>
        </w:rPr>
      </w:pPr>
      <w:bookmarkStart w:id="0" w:name="_GoBack"/>
      <w:bookmarkEnd w:id="0"/>
      <w:r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165B2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65B2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0159EB4" wp14:editId="08766404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65B2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>МУНИЦИПАЛЬНОГО</w:t>
      </w:r>
      <w:r w:rsidR="00E06FAE" w:rsidRPr="00165B2F">
        <w:rPr>
          <w:rFonts w:ascii="PT Astra Serif" w:hAnsi="PT Astra Serif"/>
          <w:b/>
          <w:sz w:val="34"/>
        </w:rPr>
        <w:t xml:space="preserve"> </w:t>
      </w:r>
      <w:r w:rsidRPr="00165B2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65B2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65B2F">
        <w:rPr>
          <w:rFonts w:ascii="PT Astra Serif" w:hAnsi="PT Astra Serif"/>
          <w:b/>
          <w:sz w:val="34"/>
        </w:rPr>
        <w:t xml:space="preserve">ЩЁКИНСКИЙ </w:t>
      </w:r>
      <w:r w:rsidR="00E727C9" w:rsidRPr="00165B2F">
        <w:rPr>
          <w:rFonts w:ascii="PT Astra Serif" w:hAnsi="PT Astra Serif"/>
          <w:b/>
          <w:sz w:val="34"/>
        </w:rPr>
        <w:t xml:space="preserve">РАЙОН </w:t>
      </w:r>
    </w:p>
    <w:p w:rsidR="00E727C9" w:rsidRPr="00165B2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65B2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65B2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65B2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165B2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F3C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5F3C6E" w:rsidRPr="005F3C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18.12.2023</w:t>
            </w:r>
          </w:p>
        </w:tc>
        <w:tc>
          <w:tcPr>
            <w:tcW w:w="2409" w:type="dxa"/>
            <w:shd w:val="clear" w:color="auto" w:fill="auto"/>
          </w:tcPr>
          <w:p w:rsidR="005B2800" w:rsidRPr="00165B2F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65B2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5F3C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12 – 1700</w:t>
            </w:r>
          </w:p>
        </w:tc>
      </w:tr>
    </w:tbl>
    <w:p w:rsidR="005F6D36" w:rsidRPr="005F3C6E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5F3C6E" w:rsidRDefault="005B2800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Об утверждении Программы профилактики рисков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причинени</w:t>
      </w:r>
      <w:r w:rsidR="00C13AFD" w:rsidRPr="00165B2F">
        <w:rPr>
          <w:rFonts w:ascii="PT Astra Serif" w:hAnsi="PT Astra Serif"/>
          <w:b/>
          <w:sz w:val="28"/>
          <w:szCs w:val="28"/>
        </w:rPr>
        <w:t>я</w:t>
      </w:r>
      <w:r w:rsidRPr="00165B2F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</w:t>
      </w:r>
    </w:p>
    <w:p w:rsidR="00DC2D05" w:rsidRPr="00165B2F" w:rsidRDefault="001A5931" w:rsidP="00DC2D05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</w:rPr>
        <w:t xml:space="preserve">контроля </w:t>
      </w:r>
    </w:p>
    <w:p w:rsidR="00E46A9A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:rsidR="002A16C1" w:rsidRPr="00165B2F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65B2F">
        <w:rPr>
          <w:rFonts w:ascii="PT Astra Serif" w:hAnsi="PT Astra Serif"/>
          <w:b/>
          <w:sz w:val="28"/>
          <w:szCs w:val="28"/>
        </w:rPr>
        <w:t>Щ</w:t>
      </w:r>
      <w:r w:rsidR="00C13AFD" w:rsidRPr="00165B2F">
        <w:rPr>
          <w:rFonts w:ascii="PT Astra Serif" w:hAnsi="PT Astra Serif"/>
          <w:b/>
          <w:sz w:val="28"/>
          <w:szCs w:val="28"/>
        </w:rPr>
        <w:t>ё</w:t>
      </w:r>
      <w:r w:rsidRPr="00165B2F">
        <w:rPr>
          <w:rFonts w:ascii="PT Astra Serif" w:hAnsi="PT Astra Serif"/>
          <w:b/>
          <w:sz w:val="28"/>
          <w:szCs w:val="28"/>
        </w:rPr>
        <w:t>кинск</w:t>
      </w:r>
      <w:r w:rsidR="00512CA8">
        <w:rPr>
          <w:rFonts w:ascii="PT Astra Serif" w:hAnsi="PT Astra Serif"/>
          <w:b/>
          <w:sz w:val="28"/>
          <w:szCs w:val="28"/>
        </w:rPr>
        <w:t>ий</w:t>
      </w:r>
      <w:r w:rsidRPr="00165B2F">
        <w:rPr>
          <w:rFonts w:ascii="PT Astra Serif" w:hAnsi="PT Astra Serif"/>
          <w:b/>
          <w:sz w:val="28"/>
          <w:szCs w:val="28"/>
        </w:rPr>
        <w:t xml:space="preserve"> район на 202</w:t>
      </w:r>
      <w:r w:rsidR="00602621" w:rsidRPr="00165B2F">
        <w:rPr>
          <w:rFonts w:ascii="PT Astra Serif" w:hAnsi="PT Astra Serif"/>
          <w:b/>
          <w:sz w:val="28"/>
          <w:szCs w:val="28"/>
        </w:rPr>
        <w:t>4</w:t>
      </w:r>
      <w:r w:rsidRPr="00165B2F">
        <w:rPr>
          <w:rFonts w:ascii="PT Astra Serif" w:hAnsi="PT Astra Serif"/>
          <w:b/>
          <w:sz w:val="28"/>
          <w:szCs w:val="28"/>
        </w:rPr>
        <w:t xml:space="preserve"> год</w:t>
      </w:r>
    </w:p>
    <w:p w:rsidR="005B2800" w:rsidRPr="00165B2F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165B2F" w:rsidRDefault="00E727C9">
      <w:pPr>
        <w:rPr>
          <w:rFonts w:ascii="PT Astra Serif" w:hAnsi="PT Astra Serif" w:cs="PT Astra Serif"/>
          <w:sz w:val="20"/>
          <w:szCs w:val="20"/>
        </w:rPr>
      </w:pPr>
    </w:p>
    <w:p w:rsidR="001A5931" w:rsidRPr="00165B2F" w:rsidRDefault="00167CBC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соответствии с 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 </w:t>
      </w:r>
      <w:r w:rsidR="001A4FEF" w:rsidRPr="00165B2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</w:t>
      </w:r>
      <w:r w:rsidR="001A4FEF" w:rsidRPr="00165B2F">
        <w:rPr>
          <w:rFonts w:ascii="PT Astra Serif" w:hAnsi="PT Astra Serif"/>
          <w:spacing w:val="-6"/>
          <w:sz w:val="28"/>
          <w:szCs w:val="28"/>
          <w:lang w:eastAsia="ru-RU"/>
        </w:rPr>
        <w:t xml:space="preserve">Федерации», </w:t>
      </w:r>
      <w:r w:rsidR="001A5931" w:rsidRPr="00165B2F">
        <w:rPr>
          <w:rFonts w:ascii="PT Astra Serif" w:hAnsi="PT Astra Serif"/>
          <w:spacing w:val="-6"/>
          <w:sz w:val="28"/>
          <w:szCs w:val="28"/>
          <w:lang w:eastAsia="ru-RU"/>
        </w:rPr>
        <w:t>Федеральным законом от 31.07.2020 № 248-ФЗ «О государственном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12CA8" w:rsidRPr="00512CA8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Щёкинского района №64/413 от 26.10.2021 «Об утверждении Положения о муниципальном жилищном контроле на территории муниципального образования Щёкинский район»</w:t>
      </w:r>
      <w:r w:rsidR="00E46A9A" w:rsidRPr="00165B2F">
        <w:rPr>
          <w:rFonts w:ascii="PT Astra Serif" w:hAnsi="PT Astra Serif"/>
          <w:sz w:val="28"/>
          <w:szCs w:val="28"/>
          <w:lang w:eastAsia="ru-RU"/>
        </w:rPr>
        <w:t>,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 xml:space="preserve"> на основании ст. 42 Устава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администрация муниципального образования Щ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ё</w:t>
      </w:r>
      <w:r w:rsidR="001A5931" w:rsidRPr="00165B2F">
        <w:rPr>
          <w:rFonts w:ascii="PT Astra Serif" w:hAnsi="PT Astra Serif"/>
          <w:sz w:val="28"/>
          <w:szCs w:val="28"/>
          <w:lang w:eastAsia="ru-RU"/>
        </w:rPr>
        <w:t>кинский район ПОСТАНОВЛЯЕТ: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1.</w:t>
      </w:r>
      <w:r w:rsidR="005F3C6E">
        <w:rPr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Утверд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ить Программу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>контроля на территории муниципального образования Щёкинск</w:t>
      </w:r>
      <w:r w:rsidR="00512CA8">
        <w:rPr>
          <w:rFonts w:ascii="PT Astra Serif" w:hAnsi="PT Astra Serif"/>
          <w:sz w:val="28"/>
          <w:szCs w:val="28"/>
          <w:lang w:eastAsia="ru-RU"/>
        </w:rPr>
        <w:t>ий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район на 202</w:t>
      </w:r>
      <w:r w:rsidR="00602621" w:rsidRPr="00165B2F">
        <w:rPr>
          <w:rFonts w:ascii="PT Astra Serif" w:hAnsi="PT Astra Serif"/>
          <w:sz w:val="28"/>
          <w:szCs w:val="28"/>
          <w:lang w:eastAsia="ru-RU"/>
        </w:rPr>
        <w:t>4</w:t>
      </w:r>
      <w:r w:rsidR="00C13AFD" w:rsidRPr="00165B2F">
        <w:rPr>
          <w:rFonts w:ascii="PT Astra Serif" w:hAnsi="PT Astra Serif"/>
          <w:sz w:val="28"/>
          <w:szCs w:val="28"/>
          <w:lang w:eastAsia="ru-RU"/>
        </w:rPr>
        <w:t xml:space="preserve"> год</w:t>
      </w:r>
      <w:r w:rsidR="00167CBC" w:rsidRPr="00165B2F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1A5931" w:rsidRPr="00165B2F" w:rsidRDefault="001A5931" w:rsidP="00E46A9A">
      <w:pPr>
        <w:widowControl w:val="0"/>
        <w:suppressAutoHyphens w:val="0"/>
        <w:autoSpaceDE w:val="0"/>
        <w:autoSpaceDN w:val="0"/>
        <w:adjustRightInd w:val="0"/>
        <w:spacing w:line="37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2.</w:t>
      </w:r>
      <w:r w:rsidR="005F3C6E">
        <w:rPr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C13AFD" w:rsidRPr="00165B2F">
        <w:rPr>
          <w:rFonts w:ascii="PT Astra Serif" w:hAnsi="PT Astra Serif"/>
          <w:spacing w:val="-6"/>
          <w:sz w:val="28"/>
          <w:szCs w:val="28"/>
          <w:lang w:eastAsia="ru-RU"/>
        </w:rPr>
        <w:t>Портале муниципального образования Щёкинский район и на информационном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стенде администрации </w:t>
      </w:r>
      <w:r w:rsidR="00E46A9A" w:rsidRPr="00165B2F">
        <w:rPr>
          <w:rFonts w:ascii="PT Astra Serif" w:hAnsi="PT Astra Serif" w:cs="PT Astra Serif"/>
          <w:sz w:val="28"/>
          <w:szCs w:val="28"/>
          <w:lang w:eastAsia="ru-RU"/>
        </w:rPr>
        <w:t>муниципального образования Щёкинский район</w:t>
      </w:r>
      <w:r w:rsidR="00C13AFD" w:rsidRPr="00165B2F">
        <w:rPr>
          <w:rFonts w:ascii="PT Astra Serif" w:hAnsi="PT Astra Serif" w:cs="PT Astra Serif"/>
          <w:sz w:val="28"/>
          <w:szCs w:val="28"/>
          <w:lang w:eastAsia="ru-RU"/>
        </w:rPr>
        <w:t xml:space="preserve"> по адресу: Тульская область, г. Щёкино, пл. Ленина, д. 1.</w:t>
      </w:r>
    </w:p>
    <w:p w:rsidR="001C32A8" w:rsidRPr="00165B2F" w:rsidRDefault="001A5931" w:rsidP="00E46A9A">
      <w:pPr>
        <w:spacing w:line="37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3.</w:t>
      </w:r>
      <w:r w:rsidRPr="00165B2F">
        <w:rPr>
          <w:sz w:val="28"/>
          <w:szCs w:val="28"/>
          <w:lang w:eastAsia="ru-RU"/>
        </w:rPr>
        <w:t> </w:t>
      </w:r>
      <w:r w:rsidR="00167CBC" w:rsidRPr="00165B2F">
        <w:rPr>
          <w:rFonts w:ascii="PT Astra Serif" w:hAnsi="PT Astra Serif"/>
          <w:color w:val="000000"/>
          <w:sz w:val="28"/>
          <w:szCs w:val="28"/>
          <w:lang w:eastAsia="ru-RU"/>
        </w:rPr>
        <w:t> 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65B2F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 w:rsidRPr="00165B2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165B2F" w:rsidRDefault="00115CE3">
      <w:pPr>
        <w:rPr>
          <w:rFonts w:ascii="PT Astra Serif" w:hAnsi="PT Astra Serif" w:cs="PT Astra Serif"/>
        </w:rPr>
      </w:pPr>
    </w:p>
    <w:p w:rsidR="001C32A8" w:rsidRPr="00165B2F" w:rsidRDefault="001C32A8">
      <w:pPr>
        <w:rPr>
          <w:rFonts w:ascii="PT Astra Serif" w:hAnsi="PT Astra Serif" w:cs="PT Astra Serif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46A9A" w:rsidRPr="00165B2F" w:rsidTr="00023F35">
        <w:trPr>
          <w:trHeight w:val="229"/>
        </w:trPr>
        <w:tc>
          <w:tcPr>
            <w:tcW w:w="2178" w:type="pct"/>
          </w:tcPr>
          <w:p w:rsidR="00E46A9A" w:rsidRPr="00165B2F" w:rsidRDefault="00E46A9A" w:rsidP="00023F35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:rsidR="00E46A9A" w:rsidRPr="00165B2F" w:rsidRDefault="00E46A9A" w:rsidP="00023F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46A9A" w:rsidRPr="00165B2F" w:rsidRDefault="00E46A9A" w:rsidP="00023F35">
            <w:pPr>
              <w:jc w:val="right"/>
              <w:rPr>
                <w:rFonts w:ascii="PT Astra Serif" w:hAnsi="PT Astra Serif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46A9A" w:rsidRPr="00165B2F" w:rsidRDefault="00E46A9A" w:rsidP="00E46A9A">
      <w:pPr>
        <w:rPr>
          <w:rFonts w:ascii="PT Astra Serif" w:hAnsi="PT Astra Serif" w:cs="PT Astra Serif"/>
          <w:sz w:val="4"/>
          <w:szCs w:val="4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  <w:sectPr w:rsidR="00E46A9A" w:rsidRPr="00165B2F" w:rsidSect="005F3C6E">
          <w:headerReference w:type="default" r:id="rId9"/>
          <w:headerReference w:type="first" r:id="rId10"/>
          <w:pgSz w:w="11906" w:h="16838"/>
          <w:pgMar w:top="1134" w:right="850" w:bottom="1418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E46A9A" w:rsidP="005F3C6E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F3C6E" w:rsidRPr="005F3C6E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5F3C6E">
              <w:rPr>
                <w:rFonts w:ascii="PT Astra Serif" w:hAnsi="PT Astra Serif"/>
                <w:sz w:val="28"/>
                <w:szCs w:val="28"/>
              </w:rPr>
              <w:t>12 – 1700</w:t>
            </w:r>
          </w:p>
        </w:tc>
      </w:tr>
      <w:tr w:rsidR="00E46A9A" w:rsidRPr="00165B2F" w:rsidTr="00023F35">
        <w:trPr>
          <w:trHeight w:val="303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46A9A" w:rsidRPr="00165B2F" w:rsidTr="00023F35">
        <w:trPr>
          <w:trHeight w:val="1846"/>
        </w:trPr>
        <w:tc>
          <w:tcPr>
            <w:tcW w:w="4482" w:type="dxa"/>
          </w:tcPr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Щ</w:t>
            </w:r>
            <w:r w:rsidR="00486C1C">
              <w:rPr>
                <w:rFonts w:ascii="PT Astra Serif" w:hAnsi="PT Astra Serif"/>
                <w:sz w:val="28"/>
                <w:szCs w:val="28"/>
              </w:rPr>
              <w:t>ё</w:t>
            </w:r>
            <w:r w:rsidRPr="00165B2F">
              <w:rPr>
                <w:rFonts w:ascii="PT Astra Serif" w:hAnsi="PT Astra Serif"/>
                <w:sz w:val="28"/>
                <w:szCs w:val="28"/>
              </w:rPr>
              <w:t>кинский район</w:t>
            </w: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46A9A" w:rsidRPr="00165B2F" w:rsidRDefault="00E46A9A" w:rsidP="00023F35">
            <w:pPr>
              <w:pStyle w:val="25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46A9A" w:rsidRPr="00165B2F" w:rsidRDefault="005F3C6E" w:rsidP="00023F35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5F3C6E">
              <w:rPr>
                <w:rFonts w:ascii="PT Astra Serif" w:hAnsi="PT Astra Serif"/>
                <w:sz w:val="28"/>
                <w:szCs w:val="28"/>
              </w:rPr>
              <w:t>18.12.2023</w:t>
            </w:r>
            <w:r w:rsidRPr="00165B2F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>12 – 1700</w:t>
            </w:r>
          </w:p>
        </w:tc>
      </w:tr>
    </w:tbl>
    <w:p w:rsidR="00E46A9A" w:rsidRPr="00165B2F" w:rsidRDefault="00E46A9A" w:rsidP="00E46A9A">
      <w:pPr>
        <w:jc w:val="right"/>
        <w:rPr>
          <w:rFonts w:ascii="PT Astra Serif" w:hAnsi="PT Astra Serif"/>
          <w:sz w:val="16"/>
          <w:szCs w:val="16"/>
        </w:rPr>
      </w:pPr>
    </w:p>
    <w:p w:rsidR="00E46A9A" w:rsidRPr="00165B2F" w:rsidRDefault="00E46A9A" w:rsidP="00E46A9A">
      <w:pPr>
        <w:rPr>
          <w:rFonts w:ascii="PT Astra Serif" w:hAnsi="PT Astra Serif" w:cs="PT Astra Serif"/>
          <w:sz w:val="28"/>
          <w:szCs w:val="28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165B2F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512CA8" w:rsidRDefault="004E6993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DC2D05">
        <w:rPr>
          <w:rFonts w:ascii="PT Astra Serif" w:hAnsi="PT Astra Serif"/>
          <w:b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КОНТРОЛЯ НА ТЕРРИТОРИИ </w:t>
      </w:r>
      <w:r w:rsidR="00512CA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</w:t>
      </w:r>
      <w:r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Щ</w:t>
      </w:r>
      <w:r w:rsidR="00831A33" w:rsidRPr="00165B2F">
        <w:rPr>
          <w:rFonts w:ascii="PT Astra Serif" w:hAnsi="PT Astra Serif"/>
          <w:b/>
          <w:sz w:val="28"/>
          <w:szCs w:val="28"/>
          <w:lang w:eastAsia="ru-RU"/>
        </w:rPr>
        <w:t>Ё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>КИНСК</w:t>
      </w:r>
      <w:r w:rsidR="00512CA8">
        <w:rPr>
          <w:rFonts w:ascii="PT Astra Serif" w:hAnsi="PT Astra Serif"/>
          <w:b/>
          <w:sz w:val="28"/>
          <w:szCs w:val="28"/>
          <w:lang w:eastAsia="ru-RU"/>
        </w:rPr>
        <w:t>ИЙ</w:t>
      </w:r>
      <w:r w:rsidR="004A107E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РАЙОН </w:t>
      </w:r>
    </w:p>
    <w:p w:rsidR="004E6993" w:rsidRPr="00165B2F" w:rsidRDefault="004A107E" w:rsidP="00167CBC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165B2F">
        <w:rPr>
          <w:rFonts w:ascii="PT Astra Serif" w:hAnsi="PT Astra Serif"/>
          <w:b/>
          <w:sz w:val="28"/>
          <w:szCs w:val="28"/>
          <w:lang w:eastAsia="ru-RU"/>
        </w:rPr>
        <w:t>НА 202</w:t>
      </w:r>
      <w:r w:rsidR="00602621" w:rsidRPr="00165B2F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4E6993" w:rsidRPr="00165B2F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165B2F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E46A9A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lastRenderedPageBreak/>
        <w:t xml:space="preserve">Раздел 1. Анализ текущего состояния осуществления вида </w:t>
      </w:r>
    </w:p>
    <w:p w:rsidR="00E46A9A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контроля,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  <w:r w:rsidR="00E46A9A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которых направлена программа </w:t>
      </w:r>
    </w:p>
    <w:p w:rsidR="004E6993" w:rsidRPr="00165B2F" w:rsidRDefault="004E6993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DB6CF7" w:rsidRPr="00165B2F" w:rsidRDefault="00DB6CF7" w:rsidP="00E46A9A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Настоящая программа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12CA8" w:rsidRPr="00512CA8">
        <w:rPr>
          <w:rFonts w:ascii="PT Astra Serif" w:eastAsia="SimSun" w:hAnsi="PT Astra Serif"/>
          <w:color w:val="000000"/>
          <w:kern w:val="1"/>
          <w:sz w:val="28"/>
          <w:szCs w:val="28"/>
        </w:rPr>
        <w:t>решением Собрания представителей Щёкинского района №64/413 от 26.10.2021 «Об утверждении Положения о муниципальном жилищном контроле на территории муниципального образования Щёкинский район»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– Положение)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на 2024 год.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контроль (далее – муниципальный контроль) осуществляется на территории муниципального образования 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в соответствии с Положением комитетом по административно-техническому надзору администрации муниципального образования Щёкинский район.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указанных, в ч. 1 ст. 20 Жилищного кодекса Российской Федерации, в отношении муниципального жилищного фонда.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муниципальный жилищный фонд.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система оценки и управления рисками при осуществлении муниципального контроля на территории муниципального образования Щёкинск</w:t>
      </w:r>
      <w:r w:rsidR="00512CA8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не применяется, плановые контрольные мероприятия не проводятся.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 связи с ограничениями, наложенными Постановлением Правительства Российской Федерации от 10.03.2022 № 336 «Об особенностях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организации и осуществления государственного контроля (надзора), муниципального контроля», внеплановые контрольные мероприятия с взаимодействием с контролируемым лицом не проводились.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Положением проводились контрольные мероприятия без взаимодействия с контролируемыми лицами: наблюдение за соблюдением обязательных требований, выездные обследования.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Разработанная программа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Щёкинск</w:t>
      </w:r>
      <w:r w:rsidR="00147B8E">
        <w:rPr>
          <w:rFonts w:ascii="PT Astra Serif" w:eastAsia="SimSun" w:hAnsi="PT Astra Serif"/>
          <w:color w:val="000000"/>
          <w:kern w:val="1"/>
          <w:sz w:val="28"/>
          <w:szCs w:val="28"/>
        </w:rPr>
        <w:t>ий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район на 2023 год предусматривала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Реализовались следующие профилактические мероприятия, направленные на создание у контролируемых лиц мотивации к добросовестному соблюдению обязательных требований: объявление предостережений, поддержание в актуальном состоянии раздела «информирование», осуществление консультирования, размещение обобщения правоприменительной практики.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Контролируемым лицам в рамках профилактических мероприятий объявляются предостережения. Предостережения размещаются в Федеральной государственной информационной системе «Единый реестр контрольных (надзорных) мероприятий» (ФГИС ЕРКНМ) в разделе «Список ПМ».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Ведется учет консультирований - оформлен журнал консультирований с указанием даты консультирования, ФИО заявителя, способа осуществления консультации, вопроса консультирования, результата консультирования и ФИО должностного лица, осуществляющего консультирование.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на официальном Портале муниципального образования Щёкинский район в сети «Интернет» по адресу: «http://www.schekino.ru/». 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На официальном Портале муниципального образования Щёкинский район в сети «Интернет» по адресу: «http://www.schekino.ru/» размещено обобщение правоприменительной практики за 2022 год по результатам осуществления муниципального контроля территории муниципального образования 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и на территории муниципального образования город Щекино 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За период  с 01.01.2023 по 01.09.2023 на территории 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проведено 159 профилактических мероприятий, из них объявлено предостережений – 103, проведено консультирований – 50, размещено информационных сообщений – 5, размещено обобщение правоприменительной практики – 1, поддерживается в актуальном состоянии раздел «информирование».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За период с 01.01.2023 по 01.09.2023 проведено 52 контрольных 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мероприятий без взаимодействия с контролируемым лицом, из них 12 - выездных обследований и 91 – наблюдение за соблюдением  обязательных требований. По результатам проведенных контрольных мероприятий объявлено 103 предостережения о недопустимости нарушения обязательных требований.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Наиболее актуальные проблемы, по которым проводились профилактические мероприятия в 2023 году: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ненадлежащее содержание кровель многоквартирных домов (несвоевременное устранение протечек кровель, приводящих к залитию жилых помещений и мест общего пользования в многоквартирных домах, не проведение своевременной очистки кровель от снежно-ледяных образований;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ненадлежащее содержание придомовой территории многоквартирных домов (не проведение своевременной очистки придомовой территории от снега; наличие гололеда и скользкости дворовых территорий; отсутствие своевременного окоса и уборки придомовой территории в теплый период года);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несоблюдение требований к обеспечению надлежащего состояния жилых помещений муниципального жилищного фонда (антисанитарное состояние жилых помещений, находящихся в муниципальной собственности).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Для оценки мероприятий по профилактике нарушений и в целом Программы профилактики на 2023 год были установлены следующие отчетные показатели, ориентированные на достижение целей Программы профилактики: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информированность контролируемых лиц об обязательных требованиях, соблюдение которых оценивается при проведении контрольным органом мероприятий по муниципальному жилищному контролю, разъяснение содержания новых нормативных правовых актов, устанавливающих обязательные требование, изменений в действующие нормативные правовые акты (по мере вступления в силу);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выполнение мероприятий, предусмотренных Программой профилактики, в соответствии со сроками и периодичностью их проведения;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подготовка и размещение на официальном Портале муниципального образования Щ</w:t>
      </w:r>
      <w:r w:rsidR="00486C1C">
        <w:rPr>
          <w:rFonts w:ascii="PT Astra Serif" w:eastAsia="SimSun" w:hAnsi="PT Astra Serif"/>
          <w:color w:val="000000"/>
          <w:kern w:val="1"/>
          <w:sz w:val="28"/>
          <w:szCs w:val="28"/>
        </w:rPr>
        <w:t>ё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кинский район в сети «Интернет», по адресу: «http://www.schekino.ru/», доклада по итогам обобщения правоприменительной практики.</w:t>
      </w:r>
    </w:p>
    <w:p w:rsidR="008F3B53" w:rsidRPr="00165B2F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Контрольным органом выполнены и в соответствии с установленными сроками продолжают выполняться все мероприятия, предусмотренные программой профилактики на 2023 год, что способствует повышению информированности контролируемых лиц о действующих обязательных требованиях и снижению рисков причинения вреда охраняемым законом ценностям.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DB6CF7" w:rsidRPr="00165B2F" w:rsidRDefault="00DB6CF7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Основными целями Программы профилактики являются: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1.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Стимулирование добросовестного соблюдения требований всеми контролируемыми лицами;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2.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3.</w:t>
      </w:r>
      <w:r w:rsidR="00DB6CF7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1)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2)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установление зависимости видов, форм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3)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формирования единого понимания обязательных требований жилищного законодательства у всех участников контрольной деятельности;</w:t>
      </w:r>
    </w:p>
    <w:p w:rsidR="00DC2D05" w:rsidRP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4)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прозрачности осуществляемой комитетом контрольной деятельности;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>5)</w:t>
      </w:r>
      <w:r w:rsidRPr="00165B2F">
        <w:rPr>
          <w:rFonts w:ascii="PT Astra Serif" w:hAnsi="PT Astra Serif" w:cs="PT Astra Serif"/>
        </w:rPr>
        <w:t> </w:t>
      </w:r>
      <w:r w:rsidRPr="00DC2D05">
        <w:rPr>
          <w:rFonts w:ascii="PT Astra Serif" w:eastAsia="SimSun" w:hAnsi="PT Astra Serif"/>
          <w:color w:val="000000"/>
          <w:kern w:val="1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DC2D05" w:rsidRDefault="00DC2D05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p w:rsid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</w:t>
      </w:r>
    </w:p>
    <w:p w:rsidR="004E6993" w:rsidRPr="00165B2F" w:rsidRDefault="004E6993" w:rsidP="00DC2D05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сроки</w:t>
      </w:r>
      <w:r w:rsid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</w:t>
      </w: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DB6CF7" w:rsidRPr="00165B2F" w:rsidRDefault="00DB6CF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ind w:firstLine="709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5A37B9" w:rsidRPr="00165B2F" w:rsidRDefault="005A37B9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1.</w:t>
      </w:r>
      <w:r w:rsidRPr="00165B2F">
        <w:rPr>
          <w:rFonts w:ascii="PT Astra Serif" w:hAnsi="PT Astra Serif" w:cs="PT Astra Serif"/>
        </w:rPr>
        <w:t> </w:t>
      </w:r>
      <w:r w:rsidR="005A37B9" w:rsidRPr="00165B2F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консультировани</w:t>
      </w:r>
      <w:r w:rsidR="004B0F4F">
        <w:rPr>
          <w:rFonts w:ascii="PT Astra Serif" w:hAnsi="PT Astra Serif"/>
          <w:sz w:val="28"/>
          <w:szCs w:val="28"/>
          <w:lang w:eastAsia="x-none"/>
        </w:rPr>
        <w:t>е;</w:t>
      </w:r>
    </w:p>
    <w:p w:rsidR="005A37B9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3.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обобщение правоприменительной практики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;</w:t>
      </w:r>
    </w:p>
    <w:p w:rsidR="00F141E8" w:rsidRPr="00165B2F" w:rsidRDefault="00DB6CF7" w:rsidP="00DB6CF7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4.</w:t>
      </w:r>
      <w:r w:rsidRPr="00165B2F">
        <w:rPr>
          <w:rFonts w:ascii="PT Astra Serif" w:hAnsi="PT Astra Serif" w:cs="PT Astra Serif"/>
        </w:rPr>
        <w:t> </w:t>
      </w:r>
      <w:r w:rsidR="004B0F4F" w:rsidRPr="00165B2F">
        <w:rPr>
          <w:rFonts w:ascii="PT Astra Serif" w:hAnsi="PT Astra Serif"/>
          <w:sz w:val="28"/>
          <w:szCs w:val="28"/>
          <w:lang w:eastAsia="x-none"/>
        </w:rPr>
        <w:t>объявление предостережения</w:t>
      </w:r>
      <w:r w:rsidR="00F141E8" w:rsidRPr="00165B2F">
        <w:rPr>
          <w:rFonts w:ascii="PT Astra Serif" w:hAnsi="PT Astra Serif"/>
          <w:sz w:val="28"/>
          <w:szCs w:val="28"/>
          <w:lang w:eastAsia="x-none"/>
        </w:rPr>
        <w:t>.</w:t>
      </w:r>
    </w:p>
    <w:p w:rsidR="00FB29F2" w:rsidRPr="00165B2F" w:rsidRDefault="00FB29F2" w:rsidP="00167CBC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2693"/>
        <w:gridCol w:w="2410"/>
      </w:tblGrid>
      <w:tr w:rsidR="005A37B9" w:rsidRPr="00165B2F" w:rsidTr="00165B2F">
        <w:trPr>
          <w:tblHeader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Структурное подразделение, ответственное </w:t>
            </w:r>
          </w:p>
          <w:p w:rsidR="005A37B9" w:rsidRPr="00165B2F" w:rsidRDefault="005A37B9" w:rsidP="00165B2F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за реализацию</w:t>
            </w:r>
          </w:p>
        </w:tc>
      </w:tr>
      <w:tr w:rsidR="00737140" w:rsidRPr="00165B2F" w:rsidTr="00F141E8"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E395B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</w:t>
            </w:r>
          </w:p>
        </w:tc>
      </w:tr>
      <w:tr w:rsidR="00737140" w:rsidRPr="00165B2F" w:rsidTr="00165B2F">
        <w:trPr>
          <w:trHeight w:val="188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737140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Размещение 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 официальном Портале муниципального образования Щёкинский район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Pr="00165B2F">
              <w:rPr>
                <w:rFonts w:ascii="PT Astra Serif" w:hAnsi="PT Astra Serif" w:cs="PT Astra Serif"/>
              </w:rPr>
              <w:t> 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текст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ов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правовых актов, регулирующих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86DA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2C405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737140" w:rsidRPr="00165B2F" w:rsidTr="00165B2F">
        <w:trPr>
          <w:trHeight w:val="18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1C" w:rsidRPr="00165B2F" w:rsidRDefault="00F141E8" w:rsidP="00486C1C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об изменениях,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внесенных в нормативные правовые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737140" w:rsidRPr="00165B2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акты, регулирующие осуществление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="0073714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контроля о сроках и порядке их вступления в силу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165B2F" w:rsidRDefault="00594FE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мере необходимости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165B2F" w:rsidRDefault="006E3D10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программ</w:t>
            </w:r>
            <w:r w:rsidR="00F141E8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ы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профилактики рисков причинения вреда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Д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 20 декабря предшествующего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4)</w:t>
            </w:r>
            <w:r w:rsidR="00DB6CF7" w:rsidRPr="00165B2F">
              <w:rPr>
                <w:rFonts w:ascii="PT Astra Serif" w:hAnsi="PT Astra Serif" w:cs="PT Astra Serif"/>
              </w:rPr>
              <w:t> </w:t>
            </w:r>
            <w:r w:rsidR="00CE4C8E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сведений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165B2F" w:rsidRDefault="00594FEF" w:rsidP="00165B2F">
            <w:pPr>
              <w:suppressAutoHyphens w:val="0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е реже 1 раза в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165B2F" w:rsidRDefault="00DD3F75" w:rsidP="00165B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65B2F">
              <w:rPr>
                <w:rFonts w:ascii="PT Astra Serif" w:hAnsi="PT Astra Serif"/>
                <w:sz w:val="28"/>
                <w:szCs w:val="28"/>
              </w:rPr>
              <w:t>Комитет по административно-техническому надзору</w:t>
            </w:r>
          </w:p>
        </w:tc>
      </w:tr>
      <w:tr w:rsidR="00DD3F75" w:rsidRPr="00165B2F" w:rsidTr="00165B2F">
        <w:trPr>
          <w:trHeight w:val="362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B0F" w:rsidRPr="00165B2F" w:rsidRDefault="00DD3F75" w:rsidP="00147B8E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Объявление предостережения</w:t>
            </w:r>
          </w:p>
        </w:tc>
      </w:tr>
      <w:tr w:rsidR="00C00310" w:rsidRPr="00165B2F" w:rsidTr="00165B2F">
        <w:trPr>
          <w:trHeight w:val="41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86C1C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Выдача контролируемому лицу предостережения о недопустимости нарушения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обязательных требований, оценка соблюдения которых является предметом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контроля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310" w:rsidRPr="00165B2F" w:rsidRDefault="00472B0F" w:rsidP="004B0F4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 принятии решения должностными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>жилищного</w:t>
            </w:r>
            <w:r w:rsidR="004B0F4F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310" w:rsidRPr="00165B2F" w:rsidRDefault="00472B0F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Комитет по административно-техническому </w:t>
            </w:r>
            <w:r w:rsidR="00C00310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надзору</w:t>
            </w:r>
          </w:p>
        </w:tc>
      </w:tr>
      <w:tr w:rsidR="00A92395" w:rsidRPr="00165B2F" w:rsidTr="00165B2F">
        <w:trPr>
          <w:trHeight w:val="41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165B2F" w:rsidRDefault="006E6450" w:rsidP="004B0F4F">
            <w:pPr>
              <w:widowControl w:val="0"/>
              <w:suppressAutoHyphens w:val="0"/>
              <w:autoSpaceDE w:val="0"/>
              <w:autoSpaceDN w:val="0"/>
              <w:adjustRightInd w:val="0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="00A9239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</w:t>
            </w:r>
          </w:p>
        </w:tc>
      </w:tr>
      <w:tr w:rsidR="00DD3F75" w:rsidRPr="00165B2F" w:rsidTr="00165B2F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D3F75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контроля). Консультирование осуществляется без взимания платы.</w:t>
            </w:r>
            <w:r w:rsidR="00DB6CF7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DD3F75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может осуществляться должностным лицом контрольного органа по телефону, посредством видео-конференц-связи, на личном приеме любо в ходе проведения профилактического мероприятия,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мероприятия.</w:t>
            </w:r>
          </w:p>
          <w:p w:rsid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осуществляется по следующим вопросам: </w:t>
            </w:r>
          </w:p>
          <w:p w:rsidR="00165B2F" w:rsidRPr="00165B2F" w:rsidRDefault="00165B2F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1)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нормативных правовых актов,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B2F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</w:p>
          <w:p w:rsidR="00DD3F75" w:rsidRDefault="00165B2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По запросу</w:t>
            </w:r>
            <w:r w:rsidR="004B0F4F"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  <w:t>.</w:t>
            </w:r>
          </w:p>
          <w:p w:rsidR="004B0F4F" w:rsidRPr="00165B2F" w:rsidRDefault="004B0F4F" w:rsidP="00165B2F">
            <w:pPr>
              <w:suppressAutoHyphens w:val="0"/>
              <w:jc w:val="center"/>
              <w:rPr>
                <w:rFonts w:ascii="PT Astra Serif" w:hAnsi="PT Astra Serif"/>
                <w:spacing w:val="-4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Способы консультирования: по телефону, на личном приеме, в ходе проведения контрольных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(надзорных) и профилактических мероприятий, посредством видео-конференц-связи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3F75" w:rsidRPr="00165B2F" w:rsidRDefault="00F141E8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Комитет по административно-</w:t>
            </w:r>
            <w:r w:rsidR="00DD3F75"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техническому надзору</w:t>
            </w:r>
          </w:p>
        </w:tc>
      </w:tr>
      <w:tr w:rsidR="00DB6CF7" w:rsidRPr="00165B2F" w:rsidTr="00165B2F">
        <w:trPr>
          <w:trHeight w:val="1056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2)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разъяснение положений нормативно правовых актов, регламентирующих порядок осуществления муниципального контроля; </w:t>
            </w:r>
          </w:p>
          <w:p w:rsidR="00DB6CF7" w:rsidRPr="00165B2F" w:rsidRDefault="00DB6CF7" w:rsidP="004B0F4F">
            <w:pPr>
              <w:suppressAutoHyphens w:val="0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3)</w:t>
            </w:r>
            <w:r w:rsidR="004B0F4F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порядок обжалования решений и действий (бездействия) должностных лиц.</w:t>
            </w:r>
          </w:p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B6CF7" w:rsidRPr="00165B2F" w:rsidRDefault="00DB6CF7" w:rsidP="004B0F4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Портале муниципального образования Щёкинский район в сети «Интернет».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DB6CF7" w:rsidRPr="00165B2F" w:rsidTr="00165B2F">
        <w:trPr>
          <w:trHeight w:val="404"/>
        </w:trPr>
        <w:tc>
          <w:tcPr>
            <w:tcW w:w="9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4E395B" w:rsidRPr="00165B2F">
              <w:rPr>
                <w:rFonts w:ascii="PT Astra Serif" w:hAnsi="PT Astra Serif" w:cs="PT Astra Serif"/>
              </w:rPr>
              <w:t> 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</w:tr>
      <w:tr w:rsidR="00DB6CF7" w:rsidRPr="00165B2F" w:rsidTr="00165B2F">
        <w:trPr>
          <w:trHeight w:val="26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486C1C">
            <w:pPr>
              <w:suppressAutoHyphens w:val="0"/>
              <w:ind w:firstLine="28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посредством сбора и анализа данных о проведенных контрольных мероприятиях. По итогам обобщения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правоприменительной практики должностными лицами, уполномоченными на осуществление муниципального </w:t>
            </w:r>
            <w:r w:rsidR="004B0F4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контроля, ежегодно готовится доклад, содержащий результаты обобщения правоприменительной практики по осуществлению муниципального </w:t>
            </w:r>
            <w:r w:rsidR="00486C1C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жилищного </w:t>
            </w: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контроля. Доклад размещается на официальном Портале муниципального образования Щёкинский район в сети «Интернет.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 1 февраля года, следующего за отчетным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6CF7" w:rsidRPr="00165B2F" w:rsidRDefault="00DB6CF7" w:rsidP="00165B2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65B2F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административно-техническому надзору</w:t>
            </w:r>
          </w:p>
        </w:tc>
      </w:tr>
    </w:tbl>
    <w:p w:rsidR="007F04E7" w:rsidRPr="00165B2F" w:rsidRDefault="007F04E7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165B2F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E84CEF" w:rsidRPr="00165B2F" w:rsidRDefault="00E84CEF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00791C" w:rsidRPr="00165B2F" w:rsidRDefault="00E84CE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Доля профилактических мероприятий в объеме контрольных мероприятий в 2023 году - 100%.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>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165B2F" w:rsidRDefault="007F594F" w:rsidP="00167CBC">
      <w:pPr>
        <w:tabs>
          <w:tab w:val="left" w:pos="1134"/>
        </w:tabs>
        <w:suppressAutoHyphens w:val="0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165B2F">
        <w:rPr>
          <w:rFonts w:ascii="PT Astra Serif" w:hAnsi="PT Astra Serif"/>
          <w:sz w:val="28"/>
          <w:szCs w:val="28"/>
          <w:lang w:eastAsia="x-none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x-none"/>
        </w:rPr>
        <w:t xml:space="preserve">повышения уровня </w:t>
      </w:r>
      <w:r w:rsidR="00CE4C8E" w:rsidRPr="00165B2F">
        <w:rPr>
          <w:rFonts w:ascii="PT Astra Serif" w:hAnsi="PT Astra Serif"/>
          <w:sz w:val="28"/>
          <w:szCs w:val="28"/>
          <w:lang w:eastAsia="x-none"/>
        </w:rPr>
        <w:t xml:space="preserve">доверия </w:t>
      </w:r>
      <w:r w:rsidRPr="00165B2F">
        <w:rPr>
          <w:rFonts w:ascii="PT Astra Serif" w:hAnsi="PT Astra Serif"/>
          <w:sz w:val="28"/>
          <w:szCs w:val="28"/>
          <w:lang w:eastAsia="x-none"/>
        </w:rPr>
        <w:t>подконтрольных субъектов к администрации.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1)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увеличению доли контролируемых лиц, соблюдающих обязательные требования, оценка соблюдения которых является предметом муниципального </w:t>
      </w:r>
      <w:r w:rsidR="00486C1C">
        <w:rPr>
          <w:rFonts w:ascii="PT Astra Serif" w:hAnsi="PT Astra Serif"/>
          <w:sz w:val="28"/>
          <w:szCs w:val="28"/>
          <w:lang w:eastAsia="ru-RU"/>
        </w:rPr>
        <w:t xml:space="preserve">жилищного </w:t>
      </w:r>
      <w:r w:rsidRPr="00165B2F">
        <w:rPr>
          <w:rFonts w:ascii="PT Astra Serif" w:hAnsi="PT Astra Serif"/>
          <w:sz w:val="28"/>
          <w:szCs w:val="28"/>
          <w:lang w:eastAsia="ru-RU"/>
        </w:rPr>
        <w:t>контроля;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2)</w:t>
      </w:r>
      <w:r w:rsidR="004E395B" w:rsidRPr="00165B2F">
        <w:rPr>
          <w:rFonts w:ascii="PT Astra Serif" w:hAnsi="PT Astra Serif" w:cs="PT Astra Serif"/>
        </w:rPr>
        <w:t> </w:t>
      </w:r>
      <w:r w:rsidRPr="00165B2F">
        <w:rPr>
          <w:rFonts w:ascii="PT Astra Serif" w:hAnsi="PT Astra Serif"/>
          <w:sz w:val="28"/>
          <w:szCs w:val="28"/>
          <w:lang w:eastAsia="ru-RU"/>
        </w:rPr>
        <w:t xml:space="preserve">развитию системы профилактических мероприятий, проводимых </w:t>
      </w:r>
      <w:r w:rsidR="00831A33" w:rsidRPr="00165B2F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165B2F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165B2F" w:rsidRDefault="007F594F" w:rsidP="00167CB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65B2F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165B2F" w:rsidRDefault="004E6993" w:rsidP="00167CBC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2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9"/>
        <w:gridCol w:w="3611"/>
      </w:tblGrid>
      <w:tr w:rsidR="00165B2F" w:rsidRPr="00165B2F" w:rsidTr="00165B2F">
        <w:trPr>
          <w:trHeight w:val="954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b/>
                <w:kern w:val="1"/>
                <w:sz w:val="28"/>
                <w:szCs w:val="28"/>
              </w:rPr>
              <w:t>Величина</w:t>
            </w:r>
          </w:p>
        </w:tc>
      </w:tr>
      <w:tr w:rsidR="00165B2F" w:rsidRPr="00165B2F" w:rsidTr="00165B2F">
        <w:trPr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1. 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165B2F" w:rsidRPr="00165B2F" w:rsidTr="00165B2F">
        <w:trPr>
          <w:trHeight w:val="1268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2. 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100% от числа обратившихся</w:t>
            </w:r>
          </w:p>
        </w:tc>
      </w:tr>
      <w:tr w:rsidR="00165B2F" w:rsidRPr="00165B2F" w:rsidTr="00165B2F">
        <w:trPr>
          <w:trHeight w:val="1272"/>
          <w:jc w:val="center"/>
        </w:trPr>
        <w:tc>
          <w:tcPr>
            <w:tcW w:w="3046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1"/>
                <w:sz w:val="28"/>
                <w:szCs w:val="28"/>
              </w:rPr>
              <w:t>3. </w:t>
            </w: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954" w:type="pct"/>
            <w:shd w:val="clear" w:color="auto" w:fill="auto"/>
            <w:vAlign w:val="center"/>
          </w:tcPr>
          <w:p w:rsidR="00165B2F" w:rsidRPr="00165B2F" w:rsidRDefault="00165B2F" w:rsidP="00165B2F">
            <w:pPr>
              <w:widowControl w:val="0"/>
              <w:suppressAutoHyphens w:val="0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165B2F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4E6993" w:rsidRPr="00165B2F" w:rsidRDefault="004E6993" w:rsidP="00167CB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CE4C8E" w:rsidRPr="00165B2F" w:rsidRDefault="00CE4C8E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165B2F" w:rsidP="00165B2F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___________________________________________</w:t>
      </w: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p w:rsidR="00E75697" w:rsidRPr="00165B2F" w:rsidRDefault="00E75697" w:rsidP="00167CBC">
      <w:pPr>
        <w:rPr>
          <w:rFonts w:ascii="PT Astra Serif" w:hAnsi="PT Astra Serif" w:cs="PT Astra Serif"/>
          <w:sz w:val="28"/>
          <w:szCs w:val="28"/>
        </w:rPr>
      </w:pPr>
    </w:p>
    <w:sectPr w:rsidR="00E75697" w:rsidRPr="00165B2F" w:rsidSect="00E46A9A">
      <w:headerReference w:type="default" r:id="rId11"/>
      <w:headerReference w:type="first" r:id="rId12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DA1" w:rsidRDefault="00247DA1">
      <w:r>
        <w:separator/>
      </w:r>
    </w:p>
  </w:endnote>
  <w:endnote w:type="continuationSeparator" w:id="0">
    <w:p w:rsidR="00247DA1" w:rsidRDefault="0024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DA1" w:rsidRDefault="00247DA1">
      <w:r>
        <w:separator/>
      </w:r>
    </w:p>
  </w:footnote>
  <w:footnote w:type="continuationSeparator" w:id="0">
    <w:p w:rsidR="00247DA1" w:rsidRDefault="0024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46A9A" w:rsidRPr="000B291F" w:rsidRDefault="00E46A9A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681D74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46A9A" w:rsidRDefault="00E46A9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9A" w:rsidRDefault="00E46A9A">
    <w:pPr>
      <w:pStyle w:val="af0"/>
      <w:jc w:val="center"/>
    </w:pPr>
  </w:p>
  <w:p w:rsidR="00E46A9A" w:rsidRDefault="00E46A9A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6211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86DA0" w:rsidRPr="00E46A9A" w:rsidRDefault="00786DA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46A9A">
          <w:rPr>
            <w:rFonts w:ascii="PT Astra Serif" w:hAnsi="PT Astra Serif"/>
            <w:sz w:val="28"/>
            <w:szCs w:val="28"/>
          </w:rPr>
          <w:fldChar w:fldCharType="begin"/>
        </w:r>
        <w:r w:rsidRPr="00E46A9A">
          <w:rPr>
            <w:rFonts w:ascii="PT Astra Serif" w:hAnsi="PT Astra Serif"/>
            <w:sz w:val="28"/>
            <w:szCs w:val="28"/>
          </w:rPr>
          <w:instrText>PAGE   \* MERGEFORMAT</w:instrText>
        </w:r>
        <w:r w:rsidRPr="00E46A9A">
          <w:rPr>
            <w:rFonts w:ascii="PT Astra Serif" w:hAnsi="PT Astra Serif"/>
            <w:sz w:val="28"/>
            <w:szCs w:val="28"/>
          </w:rPr>
          <w:fldChar w:fldCharType="separate"/>
        </w:r>
        <w:r w:rsidR="00681D74">
          <w:rPr>
            <w:rFonts w:ascii="PT Astra Serif" w:hAnsi="PT Astra Serif"/>
            <w:noProof/>
            <w:sz w:val="28"/>
            <w:szCs w:val="28"/>
          </w:rPr>
          <w:t>2</w:t>
        </w:r>
        <w:r w:rsidRPr="00E46A9A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86DA0" w:rsidRDefault="00786DA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DA0" w:rsidRDefault="00786DA0">
    <w:pPr>
      <w:pStyle w:val="af0"/>
      <w:jc w:val="center"/>
    </w:pPr>
  </w:p>
  <w:p w:rsidR="00786DA0" w:rsidRDefault="00786DA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6351C1"/>
    <w:multiLevelType w:val="hybridMultilevel"/>
    <w:tmpl w:val="42CACA80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FC584E"/>
    <w:multiLevelType w:val="hybridMultilevel"/>
    <w:tmpl w:val="E4785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05DF8"/>
    <w:multiLevelType w:val="hybridMultilevel"/>
    <w:tmpl w:val="60C615B4"/>
    <w:lvl w:ilvl="0" w:tplc="639CB6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3A13"/>
    <w:rsid w:val="0000791C"/>
    <w:rsid w:val="00010179"/>
    <w:rsid w:val="00036B7B"/>
    <w:rsid w:val="0004561B"/>
    <w:rsid w:val="00097D31"/>
    <w:rsid w:val="000B66DF"/>
    <w:rsid w:val="000D05A0"/>
    <w:rsid w:val="000E6231"/>
    <w:rsid w:val="000F03B2"/>
    <w:rsid w:val="00115CE3"/>
    <w:rsid w:val="0011670F"/>
    <w:rsid w:val="00140632"/>
    <w:rsid w:val="00147B8E"/>
    <w:rsid w:val="00151D19"/>
    <w:rsid w:val="0016136D"/>
    <w:rsid w:val="00165B2F"/>
    <w:rsid w:val="00165F95"/>
    <w:rsid w:val="00167CBC"/>
    <w:rsid w:val="00174BF8"/>
    <w:rsid w:val="001A1AED"/>
    <w:rsid w:val="001A4FEF"/>
    <w:rsid w:val="001A5267"/>
    <w:rsid w:val="001A5931"/>
    <w:rsid w:val="001A5FBD"/>
    <w:rsid w:val="001B0281"/>
    <w:rsid w:val="001C32A8"/>
    <w:rsid w:val="001C7CE2"/>
    <w:rsid w:val="001E53E5"/>
    <w:rsid w:val="002013D6"/>
    <w:rsid w:val="00207B5E"/>
    <w:rsid w:val="0021412F"/>
    <w:rsid w:val="002147F8"/>
    <w:rsid w:val="00236560"/>
    <w:rsid w:val="00241C93"/>
    <w:rsid w:val="00247DA1"/>
    <w:rsid w:val="00260B37"/>
    <w:rsid w:val="00270C3B"/>
    <w:rsid w:val="0029794D"/>
    <w:rsid w:val="002A16C1"/>
    <w:rsid w:val="002B4FD2"/>
    <w:rsid w:val="002C4050"/>
    <w:rsid w:val="002E54BE"/>
    <w:rsid w:val="00322635"/>
    <w:rsid w:val="00380579"/>
    <w:rsid w:val="003A2384"/>
    <w:rsid w:val="003A5056"/>
    <w:rsid w:val="003D216B"/>
    <w:rsid w:val="004604A1"/>
    <w:rsid w:val="00472B0F"/>
    <w:rsid w:val="0048387B"/>
    <w:rsid w:val="00486C1C"/>
    <w:rsid w:val="004964FF"/>
    <w:rsid w:val="004A107E"/>
    <w:rsid w:val="004A3E4D"/>
    <w:rsid w:val="004B0F4F"/>
    <w:rsid w:val="004C74A2"/>
    <w:rsid w:val="004E395B"/>
    <w:rsid w:val="004E6993"/>
    <w:rsid w:val="004E7F98"/>
    <w:rsid w:val="00512CA8"/>
    <w:rsid w:val="005139DA"/>
    <w:rsid w:val="00527B97"/>
    <w:rsid w:val="0056417C"/>
    <w:rsid w:val="00594FEF"/>
    <w:rsid w:val="005A37B9"/>
    <w:rsid w:val="005A4B4E"/>
    <w:rsid w:val="005A6292"/>
    <w:rsid w:val="005B2800"/>
    <w:rsid w:val="005B2F8E"/>
    <w:rsid w:val="005B3753"/>
    <w:rsid w:val="005B7EAF"/>
    <w:rsid w:val="005C6B9A"/>
    <w:rsid w:val="005F2283"/>
    <w:rsid w:val="005F3C6E"/>
    <w:rsid w:val="005F6D36"/>
    <w:rsid w:val="005F7562"/>
    <w:rsid w:val="005F7DEF"/>
    <w:rsid w:val="00602621"/>
    <w:rsid w:val="006249AE"/>
    <w:rsid w:val="00631C5C"/>
    <w:rsid w:val="0065509A"/>
    <w:rsid w:val="00681D74"/>
    <w:rsid w:val="006E1130"/>
    <w:rsid w:val="006E3D10"/>
    <w:rsid w:val="006E6450"/>
    <w:rsid w:val="006F2075"/>
    <w:rsid w:val="007112E3"/>
    <w:rsid w:val="007143EE"/>
    <w:rsid w:val="00724E8F"/>
    <w:rsid w:val="00735804"/>
    <w:rsid w:val="00737140"/>
    <w:rsid w:val="00750ABC"/>
    <w:rsid w:val="00751008"/>
    <w:rsid w:val="007776C9"/>
    <w:rsid w:val="00786DA0"/>
    <w:rsid w:val="00796661"/>
    <w:rsid w:val="007A07F8"/>
    <w:rsid w:val="007B318A"/>
    <w:rsid w:val="007F04E7"/>
    <w:rsid w:val="007F12CE"/>
    <w:rsid w:val="007F4F01"/>
    <w:rsid w:val="007F594F"/>
    <w:rsid w:val="00826211"/>
    <w:rsid w:val="008275EA"/>
    <w:rsid w:val="00831A33"/>
    <w:rsid w:val="0083223B"/>
    <w:rsid w:val="00860EEA"/>
    <w:rsid w:val="00886A38"/>
    <w:rsid w:val="00897C3B"/>
    <w:rsid w:val="008A457D"/>
    <w:rsid w:val="008C1125"/>
    <w:rsid w:val="008C2094"/>
    <w:rsid w:val="008C3E5B"/>
    <w:rsid w:val="008C73EE"/>
    <w:rsid w:val="008E654F"/>
    <w:rsid w:val="008F2E0C"/>
    <w:rsid w:val="008F3B53"/>
    <w:rsid w:val="009110D2"/>
    <w:rsid w:val="009163AE"/>
    <w:rsid w:val="00962411"/>
    <w:rsid w:val="00964877"/>
    <w:rsid w:val="009662F7"/>
    <w:rsid w:val="009773FD"/>
    <w:rsid w:val="009A1061"/>
    <w:rsid w:val="009A7968"/>
    <w:rsid w:val="009E70BA"/>
    <w:rsid w:val="00A24EB9"/>
    <w:rsid w:val="00A31B04"/>
    <w:rsid w:val="00A333F8"/>
    <w:rsid w:val="00A40280"/>
    <w:rsid w:val="00A90BBC"/>
    <w:rsid w:val="00A92395"/>
    <w:rsid w:val="00A97508"/>
    <w:rsid w:val="00AA2ACF"/>
    <w:rsid w:val="00AA2E2C"/>
    <w:rsid w:val="00AC4007"/>
    <w:rsid w:val="00AD089D"/>
    <w:rsid w:val="00AE23D7"/>
    <w:rsid w:val="00B0593F"/>
    <w:rsid w:val="00B562C1"/>
    <w:rsid w:val="00B63641"/>
    <w:rsid w:val="00BA4658"/>
    <w:rsid w:val="00BD2261"/>
    <w:rsid w:val="00C00310"/>
    <w:rsid w:val="00C13AFD"/>
    <w:rsid w:val="00C31B07"/>
    <w:rsid w:val="00C328AF"/>
    <w:rsid w:val="00CC4111"/>
    <w:rsid w:val="00CE4C8E"/>
    <w:rsid w:val="00CE7669"/>
    <w:rsid w:val="00CF25B5"/>
    <w:rsid w:val="00CF3559"/>
    <w:rsid w:val="00D16374"/>
    <w:rsid w:val="00D44CE5"/>
    <w:rsid w:val="00DA0470"/>
    <w:rsid w:val="00DB5A92"/>
    <w:rsid w:val="00DB6CF7"/>
    <w:rsid w:val="00DC2D05"/>
    <w:rsid w:val="00DD3F75"/>
    <w:rsid w:val="00DF50F1"/>
    <w:rsid w:val="00E03E77"/>
    <w:rsid w:val="00E06FAE"/>
    <w:rsid w:val="00E11B07"/>
    <w:rsid w:val="00E41E47"/>
    <w:rsid w:val="00E46A9A"/>
    <w:rsid w:val="00E727C9"/>
    <w:rsid w:val="00E75697"/>
    <w:rsid w:val="00E84CEF"/>
    <w:rsid w:val="00F141E8"/>
    <w:rsid w:val="00F41740"/>
    <w:rsid w:val="00F4209A"/>
    <w:rsid w:val="00F45B63"/>
    <w:rsid w:val="00F63BDF"/>
    <w:rsid w:val="00F737E5"/>
    <w:rsid w:val="00F825D0"/>
    <w:rsid w:val="00F94C2D"/>
    <w:rsid w:val="00F96022"/>
    <w:rsid w:val="00FB29F2"/>
    <w:rsid w:val="00FB4A7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8C35A8-930B-412F-82AA-ED98548E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semiHidden/>
    <w:unhideWhenUsed/>
    <w:rsid w:val="007F04E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Текст2"/>
    <w:basedOn w:val="a"/>
    <w:rsid w:val="00E46A9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A062-A9FE-4C70-8AA2-8DF1830E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12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Admin</cp:lastModifiedBy>
  <cp:revision>2</cp:revision>
  <cp:lastPrinted>2022-09-22T13:49:00Z</cp:lastPrinted>
  <dcterms:created xsi:type="dcterms:W3CDTF">2023-12-20T13:55:00Z</dcterms:created>
  <dcterms:modified xsi:type="dcterms:W3CDTF">2023-12-20T13:55:00Z</dcterms:modified>
</cp:coreProperties>
</file>