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7C43A7" w:rsidRPr="000F5F04" w:rsidRDefault="007C43A7" w:rsidP="007C43A7">
      <w:pPr>
        <w:jc w:val="center"/>
        <w:rPr>
          <w:rFonts w:ascii="PT Astra Serif" w:hAnsi="PT Astra Serif"/>
          <w:b/>
        </w:rPr>
      </w:pPr>
      <w:r w:rsidRPr="000F5F04">
        <w:rPr>
          <w:rFonts w:ascii="PT Astra Serif" w:hAnsi="PT Astra Serif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.5pt;height:85.15pt">
            <v:imagedata r:id="rId7" o:title="Щекино%20b&amp;w_1" gain="2.5" grayscale="t"/>
            <o:lock v:ext="edit" aspectratio="f"/>
          </v:shape>
        </w:pict>
      </w:r>
    </w:p>
    <w:p w:rsidR="007C43A7" w:rsidRPr="000F5F04" w:rsidRDefault="007C43A7" w:rsidP="007C43A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F5F0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7C43A7" w:rsidRPr="000F5F04" w:rsidRDefault="007C43A7" w:rsidP="007C43A7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0F5F0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7C43A7" w:rsidRPr="000F5F04" w:rsidRDefault="007C43A7" w:rsidP="007C43A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F5F04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7C43A7" w:rsidRPr="000F5F04" w:rsidRDefault="007C43A7" w:rsidP="007C43A7">
      <w:pPr>
        <w:spacing w:line="120" w:lineRule="exact"/>
        <w:jc w:val="center"/>
        <w:rPr>
          <w:rFonts w:ascii="PT Astra Serif" w:hAnsi="PT Astra Serif"/>
          <w:b/>
        </w:rPr>
      </w:pPr>
    </w:p>
    <w:p w:rsidR="007C43A7" w:rsidRPr="000F5F04" w:rsidRDefault="007C43A7" w:rsidP="007C43A7">
      <w:pPr>
        <w:jc w:val="center"/>
        <w:rPr>
          <w:rFonts w:ascii="PT Astra Serif" w:hAnsi="PT Astra Serif"/>
          <w:b/>
          <w:sz w:val="24"/>
          <w:szCs w:val="24"/>
        </w:rPr>
      </w:pPr>
      <w:r w:rsidRPr="000F5F04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7C43A7" w:rsidRPr="000F5F04" w:rsidRDefault="007C43A7" w:rsidP="007C4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7C43A7" w:rsidRPr="000F5F04" w:rsidRDefault="007C43A7" w:rsidP="007C43A7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7C43A7" w:rsidRPr="000F5F04" w:rsidRDefault="007C43A7" w:rsidP="007C43A7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F5F0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F5F0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7C43A7" w:rsidRPr="000F5F04" w:rsidRDefault="007C43A7" w:rsidP="007C43A7">
      <w:pPr>
        <w:tabs>
          <w:tab w:val="left" w:pos="5160"/>
        </w:tabs>
        <w:rPr>
          <w:rFonts w:ascii="PT Astra Serif" w:hAnsi="PT Astra Serif"/>
        </w:rPr>
      </w:pPr>
      <w:r w:rsidRPr="000F5F04">
        <w:rPr>
          <w:rFonts w:ascii="PT Astra Serif" w:hAnsi="PT Astra Serif"/>
        </w:rPr>
        <w:tab/>
      </w:r>
    </w:p>
    <w:p w:rsidR="007C43A7" w:rsidRPr="000F5F04" w:rsidRDefault="007C43A7" w:rsidP="007C43A7">
      <w:pPr>
        <w:ind w:firstLine="142"/>
        <w:rPr>
          <w:rFonts w:ascii="PT Astra Serif" w:hAnsi="PT Astra Serif"/>
        </w:rPr>
      </w:pPr>
      <w:r w:rsidRPr="000F5F04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6.1pt;width:300pt;height:20.4pt;z-index:1" filled="f" stroked="f">
            <v:textbox style="mso-next-textbox:#_x0000_s1028" inset="0,0,0,0">
              <w:txbxContent>
                <w:p w:rsidR="007C43A7" w:rsidRPr="00A708BB" w:rsidRDefault="007C43A7" w:rsidP="007C43A7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A708B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Pr="00A708BB">
                    <w:rPr>
                      <w:rFonts w:ascii="PT Astra Serif" w:hAnsi="PT Astra Serif"/>
                      <w:sz w:val="28"/>
                      <w:szCs w:val="28"/>
                    </w:rPr>
                    <w:t xml:space="preserve"> _</w:t>
                  </w:r>
                  <w:r w:rsidR="00D93C6A" w:rsidRPr="00D93C6A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12.08.2020</w:t>
                  </w:r>
                  <w:r w:rsidRPr="00A708BB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Pr="00A708BB">
                    <w:rPr>
                      <w:rFonts w:ascii="PT Astra Serif" w:hAnsi="PT Astra Serif"/>
                      <w:sz w:val="28"/>
                      <w:szCs w:val="28"/>
                    </w:rPr>
                    <w:tab/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  </w:t>
                  </w:r>
                  <w:r w:rsidRPr="00A708B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 </w:t>
                  </w:r>
                  <w:r w:rsidRPr="00A708BB"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  <w:r w:rsidR="00D93C6A" w:rsidRPr="00D93C6A">
                    <w:rPr>
                      <w:rFonts w:ascii="PT Astra Serif" w:hAnsi="PT Astra Serif"/>
                      <w:sz w:val="28"/>
                      <w:szCs w:val="28"/>
                      <w:u w:val="single"/>
                    </w:rPr>
                    <w:t>8-881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_</w:t>
                  </w:r>
                </w:p>
                <w:p w:rsidR="007C43A7" w:rsidRPr="00922548" w:rsidRDefault="007C43A7" w:rsidP="007C43A7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7C43A7" w:rsidRPr="00846F20" w:rsidRDefault="007C43A7" w:rsidP="007C43A7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7C43A7" w:rsidRPr="000F5F04" w:rsidRDefault="007C43A7" w:rsidP="007C43A7">
      <w:pPr>
        <w:ind w:firstLine="142"/>
        <w:rPr>
          <w:rFonts w:ascii="PT Astra Serif" w:hAnsi="PT Astra Serif"/>
        </w:rPr>
      </w:pPr>
    </w:p>
    <w:p w:rsidR="007C43A7" w:rsidRPr="000F5F04" w:rsidRDefault="007C43A7" w:rsidP="007C43A7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7C43A7" w:rsidRPr="000F5F04" w:rsidRDefault="007C43A7" w:rsidP="007C43A7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7C43A7" w:rsidRPr="00FF4CEE" w:rsidRDefault="007C43A7" w:rsidP="007C43A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7C43A7" w:rsidRPr="00FF4CEE" w:rsidRDefault="007C43A7" w:rsidP="007C43A7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7C43A7" w:rsidRPr="00FF4CEE" w:rsidRDefault="007C43A7" w:rsidP="007C43A7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7C43A7" w:rsidRPr="00FF4CEE" w:rsidRDefault="007C43A7" w:rsidP="007C43A7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7C43A7" w:rsidRPr="00FF4CEE" w:rsidRDefault="007C43A7" w:rsidP="007C43A7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7C43A7" w:rsidRPr="00FF4CEE" w:rsidRDefault="007C43A7" w:rsidP="007C43A7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7C43A7" w:rsidRPr="00FF4CEE" w:rsidRDefault="007C43A7" w:rsidP="007C43A7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C43A7" w:rsidRPr="00FF4CEE" w:rsidRDefault="007C43A7" w:rsidP="007C43A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C43A7" w:rsidRPr="00FF4CEE" w:rsidRDefault="007C43A7" w:rsidP="007C43A7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</w:rPr>
        <w:t>19</w:t>
      </w:r>
      <w:r w:rsidRPr="00FF4CE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06</w:t>
      </w:r>
      <w:r w:rsidRPr="00FF4CEE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20</w:t>
      </w:r>
      <w:r w:rsidRPr="00FF4CEE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40</w:t>
      </w:r>
      <w:r w:rsidRPr="00FF4CEE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242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 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</w:t>
      </w:r>
      <w:r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7C43A7" w:rsidP="007C43A7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9" DrawAspect="Content" ObjectID="_1662468473" r:id="rId9"/>
        </w:pict>
      </w:r>
      <w:r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Ленина</w:t>
      </w:r>
      <w:r w:rsidR="004E1DCC">
        <w:rPr>
          <w:rFonts w:ascii="PT Astra Serif" w:hAnsi="PT Astra Serif"/>
          <w:sz w:val="28"/>
          <w:szCs w:val="28"/>
        </w:rPr>
        <w:t xml:space="preserve"> </w:t>
      </w:r>
      <w:r w:rsidR="004E1DCC" w:rsidRPr="006612AD">
        <w:rPr>
          <w:rFonts w:ascii="PT Astra Serif" w:hAnsi="PT Astra Serif"/>
          <w:sz w:val="28"/>
          <w:szCs w:val="28"/>
        </w:rPr>
        <w:t>пл.</w:t>
      </w:r>
      <w:r w:rsidR="00783A15" w:rsidRPr="006612AD">
        <w:rPr>
          <w:rFonts w:ascii="PT Astra Serif" w:hAnsi="PT Astra Serif"/>
          <w:sz w:val="28"/>
          <w:szCs w:val="28"/>
        </w:rPr>
        <w:t>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C26E2D" w:rsidRPr="00D93C6A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C26E2D" w:rsidRPr="00D93C6A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C26E2D" w:rsidRPr="00D93C6A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C26E2D" w:rsidRPr="00D93C6A" w:rsidRDefault="005F6098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Е.Н. Афанасьева</w:t>
      </w:r>
    </w:p>
    <w:p w:rsidR="00C26E2D" w:rsidRPr="00D93C6A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C26E2D" w:rsidRPr="00D93C6A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В.В. Глущенко</w:t>
      </w:r>
    </w:p>
    <w:p w:rsidR="00C26E2D" w:rsidRPr="00D93C6A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C26E2D" w:rsidRPr="00D93C6A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D93C6A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C26E2D" w:rsidRPr="00D93C6A" w:rsidRDefault="00C26E2D" w:rsidP="00A9267B">
      <w:pPr>
        <w:ind w:firstLine="6663"/>
        <w:jc w:val="both"/>
        <w:rPr>
          <w:rFonts w:ascii="PT Astra Serif" w:hAnsi="PT Astra Serif" w:cs="PT Astra Serif"/>
          <w:color w:val="FFFFFF" w:themeColor="background1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 xml:space="preserve">от </w:t>
      </w:r>
      <w:r w:rsidR="00D93C6A" w:rsidRPr="00D93C6A">
        <w:rPr>
          <w:rFonts w:ascii="PT Astra Serif" w:hAnsi="PT Astra Serif" w:cs="PT Astra Serif"/>
          <w:sz w:val="24"/>
          <w:szCs w:val="24"/>
          <w:u w:val="single"/>
        </w:rPr>
        <w:t>12.08.2020</w:t>
      </w:r>
      <w:r w:rsidRPr="00B41E6C">
        <w:rPr>
          <w:rFonts w:ascii="PT Astra Serif" w:hAnsi="PT Astra Serif" w:cs="PT Astra Serif"/>
          <w:sz w:val="24"/>
          <w:szCs w:val="24"/>
        </w:rPr>
        <w:t xml:space="preserve">  № _</w:t>
      </w:r>
      <w:r w:rsidR="00D93C6A" w:rsidRPr="00D93C6A">
        <w:rPr>
          <w:rFonts w:ascii="PT Astra Serif" w:hAnsi="PT Astra Serif" w:cs="PT Astra Serif"/>
          <w:sz w:val="24"/>
          <w:szCs w:val="24"/>
          <w:u w:val="single"/>
        </w:rPr>
        <w:t>8-881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9C3F87">
      <w:pPr>
        <w:pStyle w:val="ConsPlusTitle"/>
        <w:jc w:val="center"/>
        <w:rPr>
          <w:rFonts w:ascii="PT Astra Serif" w:hAnsi="PT Astra Serif" w:cs="PT Astra Serif"/>
          <w:sz w:val="24"/>
          <w:szCs w:val="24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9C3F87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,</w:t>
            </w:r>
            <w:r w:rsidR="009C3F87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МКУ «Управление капитального строительства Щекинского района»</w:t>
            </w:r>
            <w:r w:rsidR="009C3F87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9)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пополнение ПИК «КАИСА – архив»;                  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повышение качества оказания информационных услуги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13)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24) количество записей по единицам хранения архивных фондов,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9975119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1457341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15419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3296A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194565,0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123786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998022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A2CAB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90828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54219">
              <w:rPr>
                <w:rFonts w:ascii="PT Astra Serif" w:hAnsi="PT Astra Serif" w:cs="PT Astra Serif"/>
                <w:sz w:val="24"/>
                <w:szCs w:val="24"/>
              </w:rPr>
              <w:t>288857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2944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67567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078619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615836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115B0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593032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8162D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40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3960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82E2A">
              <w:rPr>
                <w:rFonts w:ascii="PT Astra Serif" w:hAnsi="PT Astra Serif" w:cs="PT Astra Serif"/>
                <w:sz w:val="24"/>
                <w:szCs w:val="24"/>
              </w:rPr>
              <w:t>100180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F2A0D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047947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20930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3C7699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4321455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603150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3296A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1458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99422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C7699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92458,0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2392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4332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8E0D3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208432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0773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0D35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97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008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96504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A67ACA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18)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</w:t>
      </w:r>
      <w:smartTag w:uri="urn:schemas-microsoft-com:office:smarttags" w:element="metricconverter">
        <w:smartTagPr>
          <w:attr w:name="ProductID" w:val="2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2 км</w:t>
        </w:r>
      </w:smartTag>
      <w:r w:rsidRPr="00FF4CEE">
        <w:rPr>
          <w:rFonts w:ascii="PT Astra Serif" w:hAnsi="PT Astra Serif" w:cs="PT Astra Serif"/>
          <w:sz w:val="28"/>
          <w:szCs w:val="28"/>
        </w:rPr>
        <w:t xml:space="preserve"> для учащихся уровня образования и более </w:t>
      </w:r>
      <w:smartTag w:uri="urn:schemas-microsoft-com:office:smarttags" w:element="metricconverter">
        <w:smartTagPr>
          <w:attr w:name="ProductID" w:val="4 км"/>
        </w:smartTagPr>
        <w:r w:rsidRPr="00FF4CEE">
          <w:rPr>
            <w:rFonts w:ascii="PT Astra Serif" w:hAnsi="PT Astra Serif" w:cs="PT Astra Serif"/>
            <w:sz w:val="28"/>
            <w:szCs w:val="28"/>
          </w:rPr>
          <w:t>4 км</w:t>
        </w:r>
      </w:smartTag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>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9)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7154A6" w:rsidRDefault="007154A6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078619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15836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593032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3987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64098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3960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807A3">
              <w:rPr>
                <w:rFonts w:ascii="PT Astra Serif" w:hAnsi="PT Astra Serif" w:cs="PT Astra Serif"/>
                <w:sz w:val="24"/>
                <w:szCs w:val="24"/>
              </w:rPr>
              <w:t>100180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3DC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участие муниципальных образовательных организаций,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66882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3634C" w:rsidP="009217B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</w:t>
            </w:r>
            <w:r w:rsidR="009217B8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0369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9217B8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482208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9217B8" w:rsidP="009217B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313873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9217B8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79950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C3634C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536267,0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85142,9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285995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D63DCF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13873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 w:rsidR="00D63DCF"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0744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461EB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4573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461EB4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461EB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="00461EB4">
              <w:rPr>
                <w:rFonts w:ascii="PT Astra Serif" w:hAnsi="PT Astra Serif" w:cs="PT Astra Serif"/>
                <w:sz w:val="16"/>
                <w:szCs w:val="16"/>
              </w:rPr>
              <w:t>573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5D6C9A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4399,9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30682,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FA4BC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FA4BC6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071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976,4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071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15071C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3781,5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  <w:r w:rsidR="0015071C">
              <w:rPr>
                <w:rFonts w:ascii="PT Astra Serif" w:hAnsi="PT Astra Serif" w:cs="PT Astra Serif"/>
                <w:sz w:val="16"/>
                <w:szCs w:val="16"/>
              </w:rPr>
              <w:t>473,2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15399,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56030,7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5D6C9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15099,</w:t>
            </w:r>
            <w:r w:rsidR="005D6C9A"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BB1F0A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078619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4029FC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593032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6F331B" w:rsidRPr="00FF4CEE" w:rsidRDefault="00391413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68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3960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F670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F67042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615836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F67042" w:rsidP="00F670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364098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F67042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100180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622580,1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5D6C9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106031,</w:t>
            </w:r>
            <w:r w:rsidR="005D6C9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Участие муниципальных образовательных организаций, реализующих образовательную программу в проведении педагогических конференций, совещаний, вебинаров,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образовательную программу дошкольного образования, в проведении педагогических конференций, совещаний, вебинаров,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047947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20930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21455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603150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520F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1458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99422</w:t>
            </w:r>
            <w:r w:rsidR="0015071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A5673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92458,0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муниципальных общеобразовательных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участие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57311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3266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21181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3266D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E3266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E3266D">
              <w:rPr>
                <w:rFonts w:ascii="PT Astra Serif" w:hAnsi="PT Astra Serif" w:cs="PT Astra Serif"/>
                <w:sz w:val="18"/>
                <w:szCs w:val="18"/>
              </w:rPr>
              <w:t>1756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716519,1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75394,2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49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43702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B749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0B7499" w:rsidP="000B749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546225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188173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64B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E64B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88173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E64B0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19730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E64B03" w:rsidP="00E64B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19730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22405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1873A3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7195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873A3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A127E" w:rsidP="00DA127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9436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22405E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1873A3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7758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873A3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22405E" w:rsidP="004835BC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FB3520">
              <w:rPr>
                <w:rFonts w:ascii="PT Astra Serif" w:hAnsi="PT Astra Serif" w:cs="PT Astra Serif"/>
                <w:sz w:val="18"/>
                <w:szCs w:val="18"/>
                <w:lang w:val="en-US"/>
              </w:rPr>
              <w:t>6241</w:t>
            </w:r>
            <w:r w:rsidR="00FB3520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873A3">
              <w:rPr>
                <w:rFonts w:ascii="PT Astra Serif" w:hAnsi="PT Astra Serif" w:cs="PT Astra Serif"/>
                <w:sz w:val="18"/>
                <w:szCs w:val="18"/>
                <w:lang w:val="en-US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A127E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5502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1873A3" w:rsidRDefault="00FB3520" w:rsidP="00DA127E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10739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1873A3">
              <w:rPr>
                <w:rFonts w:ascii="PT Astra Serif" w:hAnsi="PT Astra Serif" w:cs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0024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F687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8C6FC9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5927,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C6FC9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556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C6FC9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8C6FC9" w:rsidP="008F687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4371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687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8.Укрепление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="003462D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462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462DF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462DF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835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4835B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0723,7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835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4835B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1F15F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B26B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B26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1F15F0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4835BC">
              <w:rPr>
                <w:rFonts w:ascii="PT Astra Serif" w:hAnsi="PT Astra Serif" w:cs="PT Astra Serif"/>
                <w:sz w:val="18"/>
                <w:szCs w:val="18"/>
              </w:rPr>
              <w:t>172,7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4835BC" w:rsidP="001B26B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8750,3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C26E2D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79974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B352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FB352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B3520" w:rsidRDefault="00FB3520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4603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B3520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 w:rsidR="00B9621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9621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</w:t>
            </w:r>
            <w:r w:rsidR="00B96213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047947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21455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20930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4033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40334" w:rsidP="00061C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603150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061C5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240334" w:rsidP="0024033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99422</w:t>
            </w:r>
            <w:r w:rsidR="00B259A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внедрение на уровнях основного и среднего общего образования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вебинаров,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5" type="#_x0000_t75" style="width:135.25pt;height:33.8pt" o:ole="">
                  <v:imagedata r:id="rId12" o:title=""/>
                </v:shape>
                <o:OLEObject Type="Embed" ProgID="Msxml2.SAXXMLReader.5.0" ShapeID="_x0000_i1025" DrawAspect="Content" ObjectID="_1662468472" r:id="rId13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863FA5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6" type="#_x0000_t75" style="width:135.25pt;height:33.8pt">
                  <v:imagedata r:id="rId12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7B433B">
              <w:rPr>
                <w:rFonts w:ascii="PT Astra Serif" w:hAnsi="PT Astra Serif" w:cs="PT Astra Serif"/>
                <w:position w:val="-28"/>
              </w:rPr>
              <w:pict>
                <v:shape id="_x0000_i1027" type="#_x0000_t75" style="width:135.25pt;height:33.8pt">
                  <v:imagedata r:id="rId12" o:title=""/>
                </v:shape>
              </w:pict>
            </w:r>
            <w:r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 xml:space="preserve">Увеличение доли муниципальных общеобразовательных организаций, соответствующих </w:t>
            </w: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7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8" type="#_x0000_t75" style="width:60.1pt;height:38.2pt">
                  <v:imagedata r:id="rId14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54.45pt;height:38.2pt">
                  <v:imagedata r:id="rId15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0" type="#_x0000_t75" style="width:95.15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PT Astra Serif"/>
              </w:rPr>
              <w:lastRenderedPageBreak/>
              <w:t>участвующих в проведении педагогических конференций, совещаний, вебинаров,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PT Astra Serif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2392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4332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08432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0773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09935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73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012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97563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6191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35543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1280</w:t>
            </w: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0885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355430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99238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543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1534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5543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9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7157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90552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10075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F9055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F90552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737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3447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31546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315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31546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B31D42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732392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08432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09935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4332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0773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B31D4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012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B31D4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008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6504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3460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2FD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7927</w:t>
            </w:r>
            <w:r w:rsidR="00C83E4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7927</w:t>
            </w:r>
            <w:r w:rsidR="00C83E4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64211" w:rsidP="0026421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008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6504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6448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76448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F96771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9 975 119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457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1 541 9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F96771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998 022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532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</w:t>
            </w:r>
            <w:r w:rsidR="0085320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2A69A8" w:rsidP="00F9677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828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F9677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F96771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288 857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294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CD757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 078 619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F169E4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615 836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622 580,1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593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098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F169E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960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F169E4">
              <w:rPr>
                <w:rFonts w:ascii="PT Astra Serif" w:hAnsi="PT Astra Serif" w:cs="PT Astra Serif"/>
                <w:sz w:val="18"/>
                <w:szCs w:val="18"/>
              </w:rPr>
              <w:t>180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106 031,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047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947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D817B3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720 930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785 763,5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455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CD757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03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150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CD757F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68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458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817B3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D817B3" w:rsidP="00D817B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99 422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92 458,0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392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332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432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773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935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8010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012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B80109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008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504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E546C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460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E546C9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1D" w:rsidRDefault="00D7721D">
      <w:r>
        <w:separator/>
      </w:r>
    </w:p>
  </w:endnote>
  <w:endnote w:type="continuationSeparator" w:id="0">
    <w:p w:rsidR="00D7721D" w:rsidRDefault="00D7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1D" w:rsidRDefault="00D7721D">
      <w:r>
        <w:separator/>
      </w:r>
    </w:p>
  </w:footnote>
  <w:footnote w:type="continuationSeparator" w:id="0">
    <w:p w:rsidR="00D7721D" w:rsidRDefault="00D7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98" w:rsidRDefault="005F6098">
    <w:pPr>
      <w:pStyle w:val="a5"/>
      <w:jc w:val="center"/>
    </w:pPr>
    <w:fldSimple w:instr=" PAGE   \* MERGEFORMAT ">
      <w:r w:rsidR="00D93C6A">
        <w:rPr>
          <w:noProof/>
        </w:rPr>
        <w:t>72</w:t>
      </w:r>
    </w:fldSimple>
  </w:p>
  <w:p w:rsidR="005F6098" w:rsidRDefault="005F6098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98" w:rsidRDefault="005F6098">
    <w:pPr>
      <w:pStyle w:val="a5"/>
      <w:jc w:val="center"/>
    </w:pPr>
  </w:p>
  <w:p w:rsidR="005F6098" w:rsidRDefault="005F60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733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1C5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499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2A0D"/>
    <w:rsid w:val="000F3732"/>
    <w:rsid w:val="000F4CF2"/>
    <w:rsid w:val="000F51C7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27FF7"/>
    <w:rsid w:val="00130431"/>
    <w:rsid w:val="00133CCF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71C"/>
    <w:rsid w:val="00150FE6"/>
    <w:rsid w:val="0015159A"/>
    <w:rsid w:val="001516C6"/>
    <w:rsid w:val="00151E91"/>
    <w:rsid w:val="00151F1E"/>
    <w:rsid w:val="0015201C"/>
    <w:rsid w:val="001529B0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3A3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26B0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15F0"/>
    <w:rsid w:val="001F2AA7"/>
    <w:rsid w:val="001F2B79"/>
    <w:rsid w:val="001F547E"/>
    <w:rsid w:val="001F606B"/>
    <w:rsid w:val="001F6555"/>
    <w:rsid w:val="001F663C"/>
    <w:rsid w:val="001F66F6"/>
    <w:rsid w:val="001F7BFD"/>
    <w:rsid w:val="001F7DC4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405E"/>
    <w:rsid w:val="00225945"/>
    <w:rsid w:val="00225DF7"/>
    <w:rsid w:val="002260C9"/>
    <w:rsid w:val="00226A37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0334"/>
    <w:rsid w:val="0024052E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11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7A9D"/>
    <w:rsid w:val="002F00B3"/>
    <w:rsid w:val="002F0411"/>
    <w:rsid w:val="002F041D"/>
    <w:rsid w:val="002F0689"/>
    <w:rsid w:val="002F3096"/>
    <w:rsid w:val="002F51F0"/>
    <w:rsid w:val="002F53D2"/>
    <w:rsid w:val="002F661A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6F12"/>
    <w:rsid w:val="003374AA"/>
    <w:rsid w:val="003377AD"/>
    <w:rsid w:val="003406EB"/>
    <w:rsid w:val="00341B0C"/>
    <w:rsid w:val="00342233"/>
    <w:rsid w:val="00342EE2"/>
    <w:rsid w:val="0034432E"/>
    <w:rsid w:val="003446FE"/>
    <w:rsid w:val="00344DC0"/>
    <w:rsid w:val="003455D9"/>
    <w:rsid w:val="003462DF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5430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1413"/>
    <w:rsid w:val="003932C9"/>
    <w:rsid w:val="00394F6A"/>
    <w:rsid w:val="00395C9B"/>
    <w:rsid w:val="00395CDE"/>
    <w:rsid w:val="00396542"/>
    <w:rsid w:val="00397254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C7699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8DC"/>
    <w:rsid w:val="004107B6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96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1EB4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35B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1DCC"/>
    <w:rsid w:val="004E373E"/>
    <w:rsid w:val="004E6145"/>
    <w:rsid w:val="004E641C"/>
    <w:rsid w:val="004E7A3B"/>
    <w:rsid w:val="004E7D2E"/>
    <w:rsid w:val="004F03BA"/>
    <w:rsid w:val="004F0FC9"/>
    <w:rsid w:val="004F14BB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546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2E2A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97563"/>
    <w:rsid w:val="005A0D62"/>
    <w:rsid w:val="005A128C"/>
    <w:rsid w:val="005A226D"/>
    <w:rsid w:val="005A266A"/>
    <w:rsid w:val="005A42FB"/>
    <w:rsid w:val="005A4434"/>
    <w:rsid w:val="005A5727"/>
    <w:rsid w:val="005A5833"/>
    <w:rsid w:val="005A5ADC"/>
    <w:rsid w:val="005A6166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C9A"/>
    <w:rsid w:val="005D6F31"/>
    <w:rsid w:val="005E0864"/>
    <w:rsid w:val="005E2707"/>
    <w:rsid w:val="005E3E63"/>
    <w:rsid w:val="005E574C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098"/>
    <w:rsid w:val="005F6A3A"/>
    <w:rsid w:val="005F6EE9"/>
    <w:rsid w:val="00600800"/>
    <w:rsid w:val="0060097A"/>
    <w:rsid w:val="00600D29"/>
    <w:rsid w:val="006019C7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47A31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25CF"/>
    <w:rsid w:val="007239AA"/>
    <w:rsid w:val="00723A60"/>
    <w:rsid w:val="00724A5F"/>
    <w:rsid w:val="00724BE1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448C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16FA"/>
    <w:rsid w:val="00782FCC"/>
    <w:rsid w:val="00782FD9"/>
    <w:rsid w:val="00783A15"/>
    <w:rsid w:val="00783AD6"/>
    <w:rsid w:val="00784484"/>
    <w:rsid w:val="0078448C"/>
    <w:rsid w:val="00784654"/>
    <w:rsid w:val="007855AB"/>
    <w:rsid w:val="00786AAD"/>
    <w:rsid w:val="00786DF3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3A7"/>
    <w:rsid w:val="007C4471"/>
    <w:rsid w:val="007C5154"/>
    <w:rsid w:val="007C5E38"/>
    <w:rsid w:val="007C7A0E"/>
    <w:rsid w:val="007D0244"/>
    <w:rsid w:val="007D036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1D5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3208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6FC9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0D35"/>
    <w:rsid w:val="008E1541"/>
    <w:rsid w:val="008E15ED"/>
    <w:rsid w:val="008E1B04"/>
    <w:rsid w:val="008E357F"/>
    <w:rsid w:val="008E3987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6877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590C"/>
    <w:rsid w:val="00915D4D"/>
    <w:rsid w:val="00916574"/>
    <w:rsid w:val="00920046"/>
    <w:rsid w:val="009207B5"/>
    <w:rsid w:val="00920A49"/>
    <w:rsid w:val="00920E9F"/>
    <w:rsid w:val="009215F1"/>
    <w:rsid w:val="009217B8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219"/>
    <w:rsid w:val="00954901"/>
    <w:rsid w:val="009552F8"/>
    <w:rsid w:val="00957757"/>
    <w:rsid w:val="00957D76"/>
    <w:rsid w:val="009606AA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A90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4D04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7F6"/>
    <w:rsid w:val="009A2D4A"/>
    <w:rsid w:val="009A5BC8"/>
    <w:rsid w:val="009A5D0C"/>
    <w:rsid w:val="009A7F71"/>
    <w:rsid w:val="009B00A4"/>
    <w:rsid w:val="009B053A"/>
    <w:rsid w:val="009B06BA"/>
    <w:rsid w:val="009B408E"/>
    <w:rsid w:val="009B70EC"/>
    <w:rsid w:val="009C0377"/>
    <w:rsid w:val="009C26D2"/>
    <w:rsid w:val="009C2A7A"/>
    <w:rsid w:val="009C2D3B"/>
    <w:rsid w:val="009C3F87"/>
    <w:rsid w:val="009C517F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7A3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ACA"/>
    <w:rsid w:val="00A67B93"/>
    <w:rsid w:val="00A700F8"/>
    <w:rsid w:val="00A70B98"/>
    <w:rsid w:val="00A724D2"/>
    <w:rsid w:val="00A730CE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3D3C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59A1"/>
    <w:rsid w:val="00B26760"/>
    <w:rsid w:val="00B26A99"/>
    <w:rsid w:val="00B30F56"/>
    <w:rsid w:val="00B314FC"/>
    <w:rsid w:val="00B3159D"/>
    <w:rsid w:val="00B31D42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109"/>
    <w:rsid w:val="00B80D4E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213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3DCE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610D"/>
    <w:rsid w:val="00BC2786"/>
    <w:rsid w:val="00BC4184"/>
    <w:rsid w:val="00BC477C"/>
    <w:rsid w:val="00BC4C4A"/>
    <w:rsid w:val="00BC561C"/>
    <w:rsid w:val="00BC666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2FF8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20F1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6659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162D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970CE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664"/>
    <w:rsid w:val="00CD0AD2"/>
    <w:rsid w:val="00CD13E6"/>
    <w:rsid w:val="00CD1F56"/>
    <w:rsid w:val="00CD2F84"/>
    <w:rsid w:val="00CD4C6A"/>
    <w:rsid w:val="00CD5BEC"/>
    <w:rsid w:val="00CD753F"/>
    <w:rsid w:val="00CD757F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05F2F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662E"/>
    <w:rsid w:val="00D57BBF"/>
    <w:rsid w:val="00D607D4"/>
    <w:rsid w:val="00D60DA9"/>
    <w:rsid w:val="00D61B4F"/>
    <w:rsid w:val="00D61F69"/>
    <w:rsid w:val="00D63DCF"/>
    <w:rsid w:val="00D6539C"/>
    <w:rsid w:val="00D66D50"/>
    <w:rsid w:val="00D672A2"/>
    <w:rsid w:val="00D70A0F"/>
    <w:rsid w:val="00D710CD"/>
    <w:rsid w:val="00D71419"/>
    <w:rsid w:val="00D71826"/>
    <w:rsid w:val="00D71A93"/>
    <w:rsid w:val="00D71EA1"/>
    <w:rsid w:val="00D7246F"/>
    <w:rsid w:val="00D73E32"/>
    <w:rsid w:val="00D740DD"/>
    <w:rsid w:val="00D7721D"/>
    <w:rsid w:val="00D774BF"/>
    <w:rsid w:val="00D7766D"/>
    <w:rsid w:val="00D810F8"/>
    <w:rsid w:val="00D817B3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3C6A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27E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971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1C85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66D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3755A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46C9"/>
    <w:rsid w:val="00E555F9"/>
    <w:rsid w:val="00E56646"/>
    <w:rsid w:val="00E568CD"/>
    <w:rsid w:val="00E56FCB"/>
    <w:rsid w:val="00E57BB2"/>
    <w:rsid w:val="00E60AB1"/>
    <w:rsid w:val="00E615B3"/>
    <w:rsid w:val="00E62C4E"/>
    <w:rsid w:val="00E62E0B"/>
    <w:rsid w:val="00E63059"/>
    <w:rsid w:val="00E64B03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168B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7C40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69E4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3FE4"/>
    <w:rsid w:val="00F654A4"/>
    <w:rsid w:val="00F6551C"/>
    <w:rsid w:val="00F67042"/>
    <w:rsid w:val="00F67540"/>
    <w:rsid w:val="00F67567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07A3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0552"/>
    <w:rsid w:val="00F91503"/>
    <w:rsid w:val="00F915FD"/>
    <w:rsid w:val="00F91FAE"/>
    <w:rsid w:val="00F93348"/>
    <w:rsid w:val="00F935FB"/>
    <w:rsid w:val="00F950C8"/>
    <w:rsid w:val="00F954B8"/>
    <w:rsid w:val="00F96771"/>
    <w:rsid w:val="00FA1984"/>
    <w:rsid w:val="00FA235A"/>
    <w:rsid w:val="00FA2F25"/>
    <w:rsid w:val="00FA3FAB"/>
    <w:rsid w:val="00FA446C"/>
    <w:rsid w:val="00FA4AE9"/>
    <w:rsid w:val="00FA4BC6"/>
    <w:rsid w:val="00FA5673"/>
    <w:rsid w:val="00FA62E8"/>
    <w:rsid w:val="00FA645E"/>
    <w:rsid w:val="00FA6567"/>
    <w:rsid w:val="00FA66A9"/>
    <w:rsid w:val="00FA722A"/>
    <w:rsid w:val="00FB3520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23151</Words>
  <Characters>131966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154808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2020-07-31T11:20:00Z</cp:lastPrinted>
  <dcterms:created xsi:type="dcterms:W3CDTF">2020-09-24T12:01:00Z</dcterms:created>
  <dcterms:modified xsi:type="dcterms:W3CDTF">2020-09-24T12:01:00Z</dcterms:modified>
</cp:coreProperties>
</file>