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A2E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2EDF" w:rsidRPr="00EA2E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2E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1765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bookmarkStart w:id="0" w:name="_GoBack"/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bookmarkEnd w:id="0"/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Федерации», 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решением Собрания представителей Щекинского района                        от 29.11.2023  № 4/33 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Pr="00682A56" w:rsidRDefault="00D13452" w:rsidP="00363A1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2D7044" w:rsidRPr="00682A56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 xml:space="preserve">2. Настоящее постановление обнародовать путем размещения на </w:t>
      </w:r>
      <w:r w:rsidRPr="00682A56">
        <w:rPr>
          <w:rFonts w:ascii="PT Astra Serif" w:eastAsia="Calibri" w:hAnsi="PT Astra Serif"/>
          <w:bCs/>
          <w:sz w:val="28"/>
          <w:szCs w:val="28"/>
        </w:rPr>
        <w:lastRenderedPageBreak/>
        <w:t xml:space="preserve">официальном Портале муниципального образования Щекинский район и на информационном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Щекинского  района   по  адресу: </w:t>
      </w:r>
    </w:p>
    <w:p w:rsidR="00D13452" w:rsidRPr="00682A56" w:rsidRDefault="00D13452" w:rsidP="005C2948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>Ленина пл., д. 1, г. Щекино, Тульская область.</w:t>
      </w:r>
    </w:p>
    <w:p w:rsidR="001C32A8" w:rsidRPr="00682A56" w:rsidRDefault="00D13452" w:rsidP="00363A1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 дня официального обнародования</w:t>
      </w:r>
      <w:r w:rsidRPr="00682A56">
        <w:rPr>
          <w:rFonts w:ascii="PT Astra Serif" w:hAnsi="PT Astra Serif"/>
          <w:sz w:val="28"/>
          <w:szCs w:val="28"/>
        </w:rPr>
        <w:t>.</w:t>
      </w:r>
    </w:p>
    <w:p w:rsidR="00EA2EDF" w:rsidRPr="005438AD" w:rsidRDefault="00EA2EDF" w:rsidP="00EA2E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EDF" w:rsidRDefault="00EA2EDF" w:rsidP="00EA2E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EDF" w:rsidRPr="005438AD" w:rsidRDefault="00EA2EDF" w:rsidP="00EA2E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A2EDF" w:rsidRPr="00276E92" w:rsidTr="0089589D">
        <w:trPr>
          <w:trHeight w:val="229"/>
        </w:trPr>
        <w:tc>
          <w:tcPr>
            <w:tcW w:w="2288" w:type="pct"/>
          </w:tcPr>
          <w:p w:rsidR="00EA2EDF" w:rsidRPr="008C3903" w:rsidRDefault="00EA2EDF" w:rsidP="0089589D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A2EDF" w:rsidRPr="008C3903" w:rsidRDefault="00EA2EDF" w:rsidP="008958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A2EDF" w:rsidRPr="008C3903" w:rsidRDefault="00EA2EDF" w:rsidP="008958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EA2EDF" w:rsidRPr="00EA2EDF">
        <w:rPr>
          <w:rFonts w:ascii="PT Astra Serif" w:hAnsi="PT Astra Serif"/>
          <w:sz w:val="28"/>
          <w:szCs w:val="28"/>
          <w:lang w:eastAsia="ru-RU"/>
        </w:rPr>
        <w:t>28.12.2023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A2EDF">
        <w:rPr>
          <w:rFonts w:ascii="PT Astra Serif" w:hAnsi="PT Astra Serif"/>
          <w:sz w:val="28"/>
          <w:szCs w:val="28"/>
          <w:lang w:eastAsia="ru-RU"/>
        </w:rPr>
        <w:t>12 – 1765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5C2948" w:rsidRPr="00682A56">
              <w:rPr>
                <w:rFonts w:ascii="PT Astra Serif" w:hAnsi="PT Astra Serif"/>
                <w:lang w:eastAsia="ru-RU"/>
              </w:rPr>
              <w:t>5942,6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 w:rsidRPr="00682A56">
              <w:rPr>
                <w:rFonts w:ascii="PT Astra Serif" w:hAnsi="PT Astra Serif"/>
                <w:lang w:eastAsia="ru-RU"/>
              </w:rPr>
              <w:t>610,0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 w:rsidRPr="00682A56">
              <w:rPr>
                <w:rFonts w:ascii="PT Astra Serif" w:hAnsi="PT Astra Serif"/>
                <w:lang w:eastAsia="ru-RU"/>
              </w:rPr>
              <w:t>625,0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5942,6</w:t>
            </w:r>
          </w:p>
        </w:tc>
      </w:tr>
      <w:tr w:rsidR="00353AF2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682A56" w:rsidTr="00730FF9"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FB06E1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5942,6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2217,35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2217,35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3171,25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3171,25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3461DC" w:rsidRPr="00682A56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3461DC" w:rsidRPr="00682A56" w:rsidRDefault="003461D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554,0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F096B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554,0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32C2E" w:rsidRPr="00682A56">
              <w:rPr>
                <w:rFonts w:ascii="PT Astra Serif" w:hAnsi="PT Astra Serif"/>
                <w:b/>
                <w:lang w:eastAsia="ru-RU"/>
              </w:rPr>
              <w:t>2217,35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6598F" w:rsidRPr="00682A56">
              <w:rPr>
                <w:rFonts w:ascii="PT Astra Serif" w:hAnsi="PT Astra Serif"/>
                <w:b/>
                <w:lang w:eastAsia="ru-RU"/>
              </w:rPr>
              <w:t>3171,25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>299,2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>312,2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>395,9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043531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CD" w:rsidRDefault="004909CD">
      <w:r>
        <w:separator/>
      </w:r>
    </w:p>
  </w:endnote>
  <w:endnote w:type="continuationSeparator" w:id="0">
    <w:p w:rsidR="004909CD" w:rsidRDefault="0049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303B" w:rsidRDefault="00D3303B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CD" w:rsidRDefault="004909CD">
      <w:r>
        <w:separator/>
      </w:r>
    </w:p>
  </w:footnote>
  <w:footnote w:type="continuationSeparator" w:id="0">
    <w:p w:rsidR="004909CD" w:rsidRDefault="0049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D3303B" w:rsidRDefault="00D3303B">
        <w:pPr>
          <w:pStyle w:val="af2"/>
          <w:jc w:val="center"/>
        </w:pPr>
        <w:r>
          <w:t>2</w:t>
        </w:r>
      </w:p>
    </w:sdtContent>
  </w:sdt>
  <w:p w:rsidR="00D3303B" w:rsidRDefault="00D3303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>
    <w:pPr>
      <w:pStyle w:val="af2"/>
      <w:jc w:val="center"/>
    </w:pPr>
  </w:p>
  <w:p w:rsidR="00D3303B" w:rsidRDefault="00D3303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303B" w:rsidRDefault="00D3303B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A2EDF">
      <w:rPr>
        <w:noProof/>
      </w:rPr>
      <w:t>12</w:t>
    </w:r>
    <w:r>
      <w:fldChar w:fldCharType="end"/>
    </w:r>
  </w:p>
  <w:p w:rsidR="00D3303B" w:rsidRDefault="00D3303B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D3303B" w:rsidRDefault="00D330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DF">
          <w:rPr>
            <w:noProof/>
          </w:rPr>
          <w:t>2</w:t>
        </w:r>
        <w:r>
          <w:fldChar w:fldCharType="end"/>
        </w:r>
      </w:p>
    </w:sdtContent>
  </w:sdt>
  <w:p w:rsidR="00D3303B" w:rsidRDefault="00D3303B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D3303B" w:rsidRDefault="00D3303B">
        <w:pPr>
          <w:pStyle w:val="af2"/>
          <w:jc w:val="center"/>
        </w:pPr>
      </w:p>
      <w:p w:rsidR="00D3303B" w:rsidRDefault="00D330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DF">
          <w:rPr>
            <w:noProof/>
          </w:rPr>
          <w:t>16</w:t>
        </w:r>
        <w:r>
          <w:fldChar w:fldCharType="end"/>
        </w:r>
      </w:p>
    </w:sdtContent>
  </w:sdt>
  <w:p w:rsidR="00D3303B" w:rsidRDefault="00D3303B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851"/>
    <w:rsid w:val="003C180A"/>
    <w:rsid w:val="003C3A0B"/>
    <w:rsid w:val="003D216B"/>
    <w:rsid w:val="004305D0"/>
    <w:rsid w:val="0048387B"/>
    <w:rsid w:val="00490679"/>
    <w:rsid w:val="004909CD"/>
    <w:rsid w:val="004940C5"/>
    <w:rsid w:val="004964FF"/>
    <w:rsid w:val="004A3E4D"/>
    <w:rsid w:val="004B6DA2"/>
    <w:rsid w:val="004C74A2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813C8"/>
    <w:rsid w:val="00993681"/>
    <w:rsid w:val="009A7968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15CA1"/>
    <w:rsid w:val="00D3303B"/>
    <w:rsid w:val="00D57CEF"/>
    <w:rsid w:val="00DC6A15"/>
    <w:rsid w:val="00DD218A"/>
    <w:rsid w:val="00DF3596"/>
    <w:rsid w:val="00E03E77"/>
    <w:rsid w:val="00E06E01"/>
    <w:rsid w:val="00E06FAE"/>
    <w:rsid w:val="00E11B07"/>
    <w:rsid w:val="00E331C9"/>
    <w:rsid w:val="00E41E47"/>
    <w:rsid w:val="00E727C9"/>
    <w:rsid w:val="00E857F0"/>
    <w:rsid w:val="00E9006E"/>
    <w:rsid w:val="00EA2EDF"/>
    <w:rsid w:val="00EA7A1F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B0E7-49A9-471D-97C8-9A7216EC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2023-12-28T14:11:00Z</cp:lastPrinted>
  <dcterms:created xsi:type="dcterms:W3CDTF">2023-12-28T14:12:00Z</dcterms:created>
  <dcterms:modified xsi:type="dcterms:W3CDTF">2023-12-28T14:12:00Z</dcterms:modified>
</cp:coreProperties>
</file>