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4B39A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500A8" w:rsidRPr="00D500A8">
              <w:rPr>
                <w:rFonts w:ascii="PT Astra Serif" w:eastAsia="Calibri" w:hAnsi="PT Astra Serif" w:cs="Times New Roman"/>
                <w:sz w:val="28"/>
                <w:szCs w:val="28"/>
              </w:rPr>
              <w:t>02.09.2024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4B39A8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D500A8">
              <w:rPr>
                <w:rFonts w:ascii="PT Astra Serif" w:eastAsia="Calibri" w:hAnsi="PT Astra Serif" w:cs="Times New Roman"/>
                <w:sz w:val="28"/>
                <w:szCs w:val="28"/>
              </w:rPr>
              <w:t>9 – 1027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  <w:bookmarkEnd w:id="0"/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D500A8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500A8" w:rsidRPr="00D500A8">
              <w:rPr>
                <w:rFonts w:ascii="PT Astra Serif" w:hAnsi="PT Astra Serif"/>
                <w:sz w:val="28"/>
                <w:szCs w:val="28"/>
              </w:rPr>
              <w:t>02.09.2024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500A8">
              <w:rPr>
                <w:rFonts w:ascii="PT Astra Serif" w:hAnsi="PT Astra Serif"/>
                <w:sz w:val="28"/>
                <w:szCs w:val="28"/>
              </w:rPr>
              <w:t>9 – 1027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44102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4102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019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44102A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800DE7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15</w:t>
            </w:r>
            <w:r w:rsidR="0044102A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8 516,2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15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8 516,2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A04EAE" w:rsidRDefault="00BC47C9" w:rsidP="004410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D771B" w:rsidRPr="00A04EAE">
              <w:rPr>
                <w:rFonts w:ascii="PT Astra Serif" w:eastAsia="Calibri" w:hAnsi="PT Astra Serif" w:cs="Times New Roman"/>
                <w:b/>
                <w:lang w:eastAsia="ru-RU"/>
              </w:rPr>
              <w:t>05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6 091,2</w:t>
            </w:r>
          </w:p>
        </w:tc>
      </w:tr>
      <w:tr w:rsidR="00D65788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15</w:t>
            </w:r>
            <w:r w:rsidR="0044102A">
              <w:rPr>
                <w:rFonts w:ascii="PT Astra Serif" w:eastAsia="Calibri" w:hAnsi="PT Astra Serif" w:cs="Times New Roman"/>
                <w:lang w:eastAsia="ru-RU"/>
              </w:rPr>
              <w:t>8 516,2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16729B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0F5D3E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138 295</w:t>
            </w:r>
            <w:r w:rsidR="00D65788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A04EAE" w:rsidRDefault="00BC47C9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44102A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="0044102A">
              <w:rPr>
                <w:rFonts w:ascii="PT Astra Serif" w:eastAsia="Calibri" w:hAnsi="PT Astra Serif" w:cs="Times New Roman"/>
                <w:lang w:eastAsia="ru-RU"/>
              </w:rPr>
              <w:t>1 098,8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A04EAE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7 080,7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 w:rsidR="0044102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3 007,1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</w:rPr>
              <w:t>4 678,9</w:t>
            </w:r>
          </w:p>
        </w:tc>
      </w:tr>
      <w:tr w:rsidR="0075351F" w:rsidRPr="00A04EAE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  <w:r w:rsidR="0044102A">
              <w:rPr>
                <w:rFonts w:ascii="PT Astra Serif" w:eastAsia="Calibri" w:hAnsi="PT Astra Serif" w:cs="Times New Roman"/>
                <w:lang w:eastAsia="ru-RU"/>
              </w:rPr>
              <w:t>7 080,7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A04EAE" w:rsidRDefault="004D771B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71</w:t>
            </w:r>
            <w:r w:rsidR="0044102A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8 328,2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79598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A04EAE" w:rsidRDefault="00795987" w:rsidP="00333C85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331 001,5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79598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51 435,5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A04EAE" w:rsidRDefault="00795987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331 001,5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A04EAE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</w:t>
            </w:r>
            <w:r w:rsidR="00E410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10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007</w:t>
            </w:r>
            <w:r w:rsidR="0075351F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E410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="00225BC4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A04EAE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A04EAE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A04EA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410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8001B2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E410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080</w:t>
            </w:r>
            <w:r w:rsidR="008001B2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E410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Щекинский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10 600,0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5C670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10 600,0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AF2F0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B075D8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54 077,8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990D45" w:rsidP="00B075D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B075D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001B2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077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8001B2" w:rsidP="00727B9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5 6</w:t>
            </w:r>
            <w:r w:rsidR="00990D45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90D45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  <w:r w:rsidR="00990D45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5C1B5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4 </w:t>
            </w:r>
            <w:r w:rsidR="00CB660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116,2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5C1B5B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4 116,</w:t>
            </w:r>
            <w:r w:rsidR="00CB660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53F87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53F87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873,9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4772AF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5ECE" w:rsidRPr="00A04EAE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5175A1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1D5240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25A2B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00498D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D647AB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4C3B96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4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611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439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717 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760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2F5ECE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106 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106 </w:t>
            </w: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513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331 001,5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51 435,5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795987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51 435,5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51 435,5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A04EAE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331 001,5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795987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331 001,5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795987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51 435,5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48 432,4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E97" w:rsidRDefault="00DC4E97" w:rsidP="000F37F7">
      <w:r>
        <w:separator/>
      </w:r>
    </w:p>
  </w:endnote>
  <w:endnote w:type="continuationSeparator" w:id="0">
    <w:p w:rsidR="00DC4E97" w:rsidRDefault="00DC4E9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E97" w:rsidRDefault="00DC4E97" w:rsidP="000F37F7">
      <w:r>
        <w:separator/>
      </w:r>
    </w:p>
  </w:footnote>
  <w:footnote w:type="continuationSeparator" w:id="0">
    <w:p w:rsidR="00DC4E97" w:rsidRDefault="00DC4E9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001B2" w:rsidRPr="000F34A2" w:rsidRDefault="008001B2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D500A8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001B2" w:rsidRDefault="008001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B2" w:rsidRPr="006C5F81" w:rsidRDefault="008001B2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1B2" w:rsidRDefault="008001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39A8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6709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5A511-ECA6-4B88-87CF-1765BA54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2024-08-26T11:19:00Z</cp:lastPrinted>
  <dcterms:created xsi:type="dcterms:W3CDTF">2024-09-02T14:20:00Z</dcterms:created>
  <dcterms:modified xsi:type="dcterms:W3CDTF">2024-09-02T14:20:00Z</dcterms:modified>
</cp:coreProperties>
</file>