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E67E19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E67E19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8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</w:t>
            </w:r>
            <w:proofErr w:type="gramStart"/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48434E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(второе 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</w:t>
            </w: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ед.),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</w:t>
            </w:r>
            <w:r w:rsidR="006C74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C7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образовании  Щекинского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Контрольно-счетной комиссий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образования Щекинский район были запрошены пояснения, которые были представлены Финансовым управлением администрации Щекинского района. 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в основные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бюджета Щекинского района на 202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планов</w:t>
            </w:r>
            <w:r w:rsidR="0001554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256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56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основу уточнения бюджета муниципального образования на 202</w:t>
            </w:r>
            <w:r w:rsidR="006D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перераспределения бюджетных ассигнований между разделами, подразделами, целевыми статьями, группами и подгруппами видов расходов бюджета района в соответствии с бюджетным законодательством и распределение остатков 20</w:t>
            </w:r>
            <w:r w:rsidR="00F158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proofErr w:type="gramEnd"/>
          </w:p>
          <w:p w:rsidR="00DD0DE3" w:rsidRPr="00183079" w:rsidRDefault="00DD0DE3" w:rsidP="00C00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уточняются утвержденные основные параметры бюджета на 202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доходная часть в сторону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30 275 271,10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расходная часть в сторону увеличения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58 522 781,20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2,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28 247 51,11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составляет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100 330 351,42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основные характеристики планового периода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в том числе:</w:t>
            </w:r>
          </w:p>
          <w:p w:rsidR="00DD0DE3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444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доходная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увеличена в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17 605 836,90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утвержденный план составляет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1 946 110 130,44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</w:t>
            </w:r>
            <w:r w:rsidR="00444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1 892 761 670,64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соответственно;</w:t>
            </w:r>
          </w:p>
          <w:p w:rsidR="00444C64" w:rsidRDefault="00444C64" w:rsidP="00444C6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расходная часть увеличена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D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17 605 836,90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утвержденный план составляет </w:t>
            </w:r>
            <w:r w:rsidR="00D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2 020 521 959,06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 </w:t>
            </w:r>
            <w:r w:rsidR="00A4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1 962 756 726,37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соответственно;</w:t>
            </w:r>
          </w:p>
          <w:p w:rsidR="00A45144" w:rsidRPr="00183079" w:rsidRDefault="00A45144" w:rsidP="00444C6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условно-утвержденные расходы увеличены в </w:t>
            </w:r>
            <w:r w:rsidR="00341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году на 3 056 600,00 руб. и в 2023 году на </w:t>
            </w:r>
            <w:r w:rsidR="0059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2 791 342,23 руб., утвержденный план составит </w:t>
            </w:r>
            <w:r w:rsidR="005D4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27 173 900,00 руб. и 51 849 942,23 руб.</w:t>
            </w:r>
            <w:r w:rsidR="00AD0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соответствует требованиям бюджетного законодательства.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дефицит бюджета в плановом периоде </w:t>
            </w:r>
            <w:r w:rsidR="00A4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изменился.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 в 202</w:t>
            </w:r>
            <w:r w:rsidR="00D83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D83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18 582 884,10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 в 202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17 605 836,9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1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460 206 841,17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году,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201 138 181,44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1</w:t>
            </w:r>
            <w:proofErr w:type="gramEnd"/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114 185 521,64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уточняется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в 202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сторону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34 971,88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3 498 286,45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</w:t>
            </w:r>
          </w:p>
          <w:p w:rsidR="00DD0DE3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6 дополнена частью 3, которой утвержден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Щекинский район в 202</w:t>
            </w:r>
            <w:r w:rsidR="0072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 w:rsidR="0072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1 890 002,19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44152" w:rsidRDefault="00144152" w:rsidP="00144152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6 дополнена частью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которой утвержден объем возврата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безвозмездных поступлений от негосударственных организаций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3 977,88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C92A9B" w:rsidRDefault="00C92A9B" w:rsidP="00C92A9B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6 дополнена частью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которой утвержден объем возврата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безвозмездных поступлений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959 661,05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бюджетных ассигнований муниципального дорожного фонда муниципального образования Щекинский район в 202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2 603 216,23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134 270 349,08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996F05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статье 12 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уточняется в сторону увеличения объем </w:t>
            </w:r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межбюджетных трансфертов, предоставляемых бюджетам муниципальных образований поселений Щекинского района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Щекинский 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в 2021 году на </w:t>
            </w:r>
            <w:r w:rsidR="00751002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687 056,33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751002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98 494 263,92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201A38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543CF9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 году </w:t>
            </w:r>
            <w:r w:rsidR="00201A38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1 000 000,00 руб.</w:t>
            </w:r>
            <w:r w:rsidR="00002586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0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на 100 000,00 руб., вновь утвержденный план составит 87 484 257,09 руб. и</w:t>
            </w:r>
            <w:proofErr w:type="gramEnd"/>
            <w:r w:rsidR="0000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87 995 505,04 руб. соответственно по годам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036AF" w:rsidRDefault="008036AF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12 дополнена ч.22-26, </w:t>
            </w:r>
            <w:r w:rsidR="00832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которых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утверждены распределение иных межбюджетных трансфертов, распределение субсидии на укрепление материально-технической базы;</w:t>
            </w:r>
            <w:proofErr w:type="gramEnd"/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15 часть 1,2 , в связи с изменением программы муниципальных заимствований установлены параметры муниципального долга и объем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расходов на обслуживание муниципального долга; 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19 часть 1 в 1 абзаце установлено распределение остатков средств бюджета муниципального образования на начало текущего финансового года.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 w:rsidR="00652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18307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9B6F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9B6F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9B6F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18307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37563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2 157 134 715,4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F53B75" w:rsidP="00CF5ED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2 187 409 986,5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FD32EB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30 275 271,1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C4739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E86EED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2 229 217 556,71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1C37C8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2 287 740 337,92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DF4C07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58 522 781,21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613388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0E4E6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-72 082 841,31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1032B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-100 330 351,42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28517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28 247 510,11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0246A1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</w:tr>
          </w:tbl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C0314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Щекинский район </w:t>
            </w: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A621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 w:rsidR="0070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9A1F70"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30 275 271,1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 том числе за счет средств бюджета муниципального образования Щекинский район, средств бюджета Тульской области и средств бюджетов поселений.</w:t>
            </w: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DD0DE3" w:rsidRPr="00183079" w:rsidRDefault="00DD0DE3" w:rsidP="00F553CE">
            <w:pPr>
              <w:numPr>
                <w:ilvl w:val="2"/>
                <w:numId w:val="10"/>
              </w:numPr>
              <w:tabs>
                <w:tab w:val="clear" w:pos="360"/>
                <w:tab w:val="num" w:pos="-2"/>
                <w:tab w:val="left" w:pos="707"/>
              </w:tabs>
              <w:spacing w:after="0" w:line="240" w:lineRule="auto"/>
              <w:ind w:left="-2" w:firstLine="3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предлагается увеличить на </w:t>
            </w:r>
            <w:r w:rsidR="00C26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14 581 000,0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</w:t>
            </w: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менее </w:t>
            </w:r>
            <w:r w:rsidR="00B31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 утвержденным плановым назначениям. </w:t>
            </w: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Увеличиваются плановые назначения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процентам, полученным от предоставления бюджетных кредитов внутри страны за счет средств бюджетов муниципальных районов</w:t>
            </w:r>
            <w:r w:rsidR="00F55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основании графика возврата бюджетного кредита по договору  от </w:t>
            </w:r>
            <w:r w:rsidR="006F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F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6F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F55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  а также поступление налога на прибыль (с учетом темпа роста ФОТ на 2021 год (согласно прогнозу СЭР).</w:t>
            </w:r>
            <w:proofErr w:type="gramEnd"/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</w:t>
            </w:r>
            <w:r w:rsidR="003563B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уведомления министерства финансов Тульской области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</w:t>
            </w:r>
            <w:r w:rsidR="00663ACB"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B4D76">
              <w:rPr>
                <w:rFonts w:ascii="Times New Roman" w:hAnsi="Times New Roman" w:cs="Times New Roman"/>
                <w:sz w:val="28"/>
                <w:szCs w:val="28"/>
              </w:rPr>
              <w:t>15 694 271,1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 w:rsidR="007B4D7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1D6EDB" w:rsidRDefault="001D6EDB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0DE3" w:rsidRPr="00183079" w:rsidRDefault="00DD0DE3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Увеличиваются:</w:t>
            </w:r>
          </w:p>
          <w:p w:rsidR="000D7E5F" w:rsidRDefault="00DD0DE3" w:rsidP="007D38A9">
            <w:pPr>
              <w:numPr>
                <w:ilvl w:val="0"/>
                <w:numId w:val="34"/>
              </w:numPr>
              <w:tabs>
                <w:tab w:val="clear" w:pos="1428"/>
                <w:tab w:val="num" w:pos="900"/>
                <w:tab w:val="left" w:pos="2968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субъектов Российской Федерации и муниципальных образований (межбюджетные субсидии) на </w:t>
            </w:r>
            <w:r w:rsidR="00663ACB">
              <w:rPr>
                <w:rFonts w:ascii="Times New Roman" w:hAnsi="Times New Roman" w:cs="Times New Roman"/>
                <w:sz w:val="28"/>
                <w:szCs w:val="28"/>
              </w:rPr>
              <w:t>9 455 046,10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0D7E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183079" w:rsidRDefault="000D7E5F" w:rsidP="007D38A9">
            <w:pPr>
              <w:numPr>
                <w:ilvl w:val="0"/>
                <w:numId w:val="34"/>
              </w:numPr>
              <w:tabs>
                <w:tab w:val="clear" w:pos="1428"/>
                <w:tab w:val="num" w:pos="900"/>
                <w:tab w:val="left" w:pos="2968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бюджетам субъектов Российской Федерации и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4 027 838,00 руб.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7D38A9">
            <w:pPr>
              <w:numPr>
                <w:ilvl w:val="1"/>
                <w:numId w:val="33"/>
              </w:numPr>
              <w:tabs>
                <w:tab w:val="clear" w:pos="2340"/>
                <w:tab w:val="num" w:pos="72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</w:t>
            </w:r>
            <w:r w:rsidR="00881046">
              <w:rPr>
                <w:rFonts w:ascii="Times New Roman" w:hAnsi="Times New Roman" w:cs="Times New Roman"/>
                <w:sz w:val="28"/>
                <w:szCs w:val="28"/>
              </w:rPr>
              <w:t>5 065 028,12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881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183079" w:rsidRDefault="00DD0DE3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Уменьшаются:</w:t>
            </w:r>
          </w:p>
          <w:p w:rsidR="00B1309F" w:rsidRDefault="00DD0DE3" w:rsidP="00B1309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остатков субсидий, субвенций и иных межбюджетных трансфертов, имеющих целевое назначение, прошлых лет на </w:t>
            </w:r>
            <w:r w:rsidR="00B1309F">
              <w:rPr>
                <w:rFonts w:ascii="Times New Roman" w:hAnsi="Times New Roman" w:cs="Times New Roman"/>
                <w:sz w:val="28"/>
                <w:szCs w:val="28"/>
              </w:rPr>
              <w:t>1 890 002,19  руб.;</w:t>
            </w:r>
          </w:p>
          <w:p w:rsidR="00B1309F" w:rsidRDefault="00B1309F" w:rsidP="00B1309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безвозмездные поступления на 959 661,05 руб.</w:t>
            </w:r>
            <w:r w:rsidR="004245CC">
              <w:rPr>
                <w:rFonts w:ascii="Times New Roman" w:hAnsi="Times New Roman" w:cs="Times New Roman"/>
                <w:sz w:val="28"/>
                <w:szCs w:val="28"/>
              </w:rPr>
              <w:t xml:space="preserve"> (возвращены </w:t>
            </w:r>
            <w:proofErr w:type="gramStart"/>
            <w:r w:rsidR="004245CC">
              <w:rPr>
                <w:rFonts w:ascii="Times New Roman" w:hAnsi="Times New Roman" w:cs="Times New Roman"/>
                <w:sz w:val="28"/>
                <w:szCs w:val="28"/>
              </w:rPr>
              <w:t>согласно протокола</w:t>
            </w:r>
            <w:proofErr w:type="gramEnd"/>
            <w:r w:rsidR="004245CC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инициативных групп, населения о возврате денежных средств, сложившихся в результате экономии;</w:t>
            </w:r>
          </w:p>
          <w:p w:rsidR="00B1309F" w:rsidRDefault="004245CC" w:rsidP="003B6822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безвозмездные поступления от негосударственных организаций на 3 977,88 руб.</w:t>
            </w:r>
          </w:p>
          <w:p w:rsidR="00B1309F" w:rsidRDefault="00B1309F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Таким образом, общая сумма утверждаемых на 202</w:t>
            </w:r>
            <w:r w:rsidR="003B6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доходов предполагается в сумме </w:t>
            </w:r>
            <w:r w:rsidR="003B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2 187 409 986,50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</w:t>
            </w:r>
          </w:p>
          <w:p w:rsidR="00DD0DE3" w:rsidRPr="00183079" w:rsidRDefault="00DD0DE3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 w:rsidR="004A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 w:rsidR="004A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526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522 781,20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и составит </w:t>
            </w:r>
            <w:r w:rsidR="004E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2 287 740 337,92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571980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85"/>
              <w:gridCol w:w="2023"/>
              <w:gridCol w:w="1984"/>
              <w:gridCol w:w="1796"/>
            </w:tblGrid>
            <w:tr w:rsidR="00DD0DE3" w:rsidRPr="00183079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E3585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17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571980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DD0DE3" w:rsidRPr="00183079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A6179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79B" w:rsidRPr="007D73BB" w:rsidRDefault="00A6179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197 090 519,23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211 468 736,69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14 378 217,46</w:t>
                  </w:r>
                </w:p>
              </w:tc>
            </w:tr>
            <w:tr w:rsidR="002F7C5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5B" w:rsidRPr="007D73BB" w:rsidRDefault="002F7C5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1 998 600,00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1 998 600,00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F5706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7063" w:rsidRPr="007D73BB" w:rsidRDefault="00F5706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Национальная безопасность и правоохранительная 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18 609 100,00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22 359 100,00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3 750 000,00</w:t>
                  </w:r>
                </w:p>
              </w:tc>
            </w:tr>
            <w:tr w:rsidR="0031753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7531" w:rsidRPr="007D73BB" w:rsidRDefault="0031753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167 355 299,68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167 794 962,17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439 662,49</w:t>
                  </w:r>
                </w:p>
              </w:tc>
            </w:tr>
            <w:tr w:rsidR="0037547A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47A" w:rsidRPr="007D73BB" w:rsidRDefault="0037547A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173 399 915,16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180 869 740,79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7 469 825,63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3 737 747,00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3 737 747,00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1 531 529 900,43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1 554 805 270,23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23 275 369,80</w:t>
                  </w:r>
                </w:p>
              </w:tc>
            </w:tr>
            <w:tr w:rsidR="0031547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5473" w:rsidRPr="007D73BB" w:rsidRDefault="0031547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31 317 703,84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38 212 828,24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6 895 124,40</w:t>
                  </w:r>
                </w:p>
              </w:tc>
            </w:tr>
            <w:tr w:rsidR="00EB148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1481" w:rsidRPr="007D73BB" w:rsidRDefault="00EB148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42 539 262,37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44 853 843,80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2 314 581,43</w:t>
                  </w:r>
                </w:p>
              </w:tc>
            </w:tr>
            <w:tr w:rsidR="00D478E6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78E6" w:rsidRPr="007D73BB" w:rsidRDefault="00D478E6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2 365 500,00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2 365 500,00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0258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58F" w:rsidRPr="007D73BB" w:rsidRDefault="00A0258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3 737 200,00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778C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8CF" w:rsidRPr="007D73BB" w:rsidRDefault="005778C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55 536 809,00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55 536 809,00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7D73B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73BB" w:rsidRPr="007D73BB" w:rsidRDefault="007D73B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2 229 217 556,71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2 287 740 337,92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58 522 781,21</w:t>
                  </w:r>
                </w:p>
              </w:tc>
            </w:tr>
          </w:tbl>
          <w:p w:rsidR="00DD0DE3" w:rsidRPr="00183079" w:rsidRDefault="00DD0DE3" w:rsidP="00DC0C5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</w:t>
            </w:r>
            <w:r w:rsidR="00DF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12 функциональных разделов расходов бюджета муниципального образования Щекинский район.     </w:t>
            </w:r>
          </w:p>
          <w:p w:rsidR="00DD0DE3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BF5652" w:rsidRDefault="00701232" w:rsidP="004A028D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Значительное </w:t>
            </w:r>
            <w:r w:rsidR="00BF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</w:t>
            </w: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плановых назначений отмечается по следующим разделам: </w:t>
            </w:r>
          </w:p>
          <w:p w:rsidR="008127AA" w:rsidRDefault="0029484E" w:rsidP="004A028D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r w:rsidR="0081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бюджетные ассигнования увеличены исходя из фактической потребности </w:t>
            </w:r>
            <w:r w:rsidR="00241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проведение капитального ремонта муниципальными учреждениями</w:t>
            </w:r>
            <w:r w:rsidR="00927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(6 900 000,00 рублей)</w:t>
            </w:r>
            <w:r w:rsidR="00C50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благоустройство территорий муниципальных учреждений</w:t>
            </w:r>
            <w:r w:rsidR="00927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(1 100 000,00 рублей)</w:t>
            </w:r>
            <w:r w:rsidR="00C50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организацию подвоза учащихся</w:t>
            </w:r>
            <w:r w:rsidR="00927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(2 500 000,00 рублей), устройство ограждений в муниципальных образовательных учреждениях (1 800 000,00</w:t>
            </w:r>
            <w:r w:rsidR="00B76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927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E3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реализацию комплекса противопожарных мероприятий, модернизацию школ искусств и т.д.</w:t>
            </w:r>
            <w:r w:rsidR="00A62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A627A9" w:rsidRDefault="00A627A9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  <w:r w:rsidR="00EF0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бюджетные ассигнования увеличены на выполнение судебных актов по искам о возмещении вреда, причиненного незаконными действиями (бездействиями) муниципальных органов (10 000 000,00 рублей)</w:t>
            </w:r>
            <w:r w:rsidR="00AC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9C5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содержание и обслуживание казны 1 919 500,</w:t>
            </w:r>
            <w:r w:rsidR="0077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рублей, на основании уведомления министерства финансов Тульской области</w:t>
            </w:r>
            <w:r w:rsidR="00C25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субвенции на проведение Всероссийской переписи населения 1 633 910,00 рублей</w:t>
            </w:r>
            <w:r w:rsidR="00D85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т.д.;</w:t>
            </w:r>
            <w:r w:rsidR="00EF0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701232" w:rsidRPr="00701232" w:rsidRDefault="0029484E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01232"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жилищно-коммунальное хозяйство, в том числе, за счет увеличения </w:t>
            </w:r>
            <w:r w:rsidR="00701232"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бюджетных </w:t>
            </w:r>
            <w:r w:rsidR="00701232" w:rsidRPr="00960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ассигнований для </w:t>
            </w:r>
            <w:r w:rsidR="002A0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электроснабжения, водоснабжения и водоотведения в границах поселения</w:t>
            </w:r>
            <w:r w:rsidR="00E6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(6 772 157,20 руб.)</w:t>
            </w:r>
            <w:r w:rsidR="002A0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701232"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4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газового оборудования</w:t>
            </w:r>
            <w:r w:rsidR="00D85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96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связи с увеличением тарифов на основании постановления правительства Тульской области №659 от 30.10.2020 «Об установлении минимального размера взноса на капитальный ремонт общего имущества в многоквартирном доме на 2021 год»</w:t>
            </w:r>
            <w:r w:rsidR="00701232"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404C3" w:rsidRDefault="003404C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DD0DE3" w:rsidRPr="00183079" w:rsidRDefault="00DD0DE3" w:rsidP="0075361F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3404C3" w:rsidRPr="00DB6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D62" w:rsidRPr="00DB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Щекинского района от 1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годов», увеличился на 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28 247 510,11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 составил 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100 330 351,42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или </w:t>
            </w:r>
            <w:r w:rsidR="0017188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 безвозмездных поступлений.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составит </w:t>
            </w:r>
            <w:r w:rsidR="002E2D70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183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определенной п.3 ст. 92.1 БК РФ. </w:t>
            </w:r>
          </w:p>
          <w:p w:rsidR="00DD0DE3" w:rsidRPr="00183079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0A1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 w:rsidR="00C33DCC">
              <w:rPr>
                <w:rFonts w:ascii="Times New Roman" w:hAnsi="Times New Roman" w:cs="Times New Roman"/>
                <w:sz w:val="28"/>
                <w:szCs w:val="28"/>
              </w:rPr>
              <w:t>69 387 550,00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 w:rsidR="00C33DCC">
              <w:rPr>
                <w:rFonts w:ascii="Times New Roman" w:hAnsi="Times New Roman" w:cs="Times New Roman"/>
                <w:sz w:val="28"/>
                <w:szCs w:val="28"/>
              </w:rPr>
              <w:t>34 940 101,42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6 002 700,00 руб.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 xml:space="preserve"> (МО г</w:t>
            </w:r>
            <w:proofErr w:type="gramStart"/>
            <w:r w:rsidR="005C2C55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="005C2C55">
              <w:rPr>
                <w:rFonts w:ascii="Times New Roman" w:hAnsi="Times New Roman" w:cs="Times New Roman"/>
                <w:sz w:val="28"/>
                <w:szCs w:val="28"/>
              </w:rPr>
              <w:t>екино)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183079" w:rsidRDefault="00DD0DE3" w:rsidP="00C62F6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долг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Ст.15 ч.1,2  Решения Собрания представителей Щекинского района от 1</w:t>
            </w:r>
            <w:r w:rsidR="00653BE0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653BE0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Щекинский район на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 установлены следующие параметры муниципального долга: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</w:t>
            </w:r>
            <w:r w:rsidR="0071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711C6B">
              <w:rPr>
                <w:rFonts w:ascii="Times New Roman" w:hAnsi="Times New Roman" w:cs="Times New Roman"/>
                <w:sz w:val="28"/>
                <w:szCs w:val="28"/>
              </w:rPr>
              <w:t>89 387 550,00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</w:t>
            </w:r>
            <w:r w:rsidR="000A4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0A4F91">
              <w:rPr>
                <w:rFonts w:ascii="Times New Roman" w:hAnsi="Times New Roman" w:cs="Times New Roman"/>
                <w:sz w:val="28"/>
                <w:szCs w:val="28"/>
              </w:rPr>
              <w:t>161 861 378,62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верхний предел муниципального долга по состоянию на 01 января 202</w:t>
            </w:r>
            <w:r w:rsidR="005D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5D51EB">
              <w:rPr>
                <w:rFonts w:ascii="Times New Roman" w:hAnsi="Times New Roman" w:cs="Times New Roman"/>
                <w:sz w:val="28"/>
                <w:szCs w:val="28"/>
              </w:rPr>
              <w:t>231 856 434,35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связи с внесением изменений в программу муниципальных заимствований предлагается утвердить объем расходов на обслуживание муниципального долга муниципального образования в 202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3 737 200,00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в 202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 xml:space="preserve">4 648 700,00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в 202</w:t>
            </w:r>
            <w:r w:rsidR="007B6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8 843 200,00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4D6A8D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DD0DE3" w:rsidRPr="00183079" w:rsidRDefault="00DD0DE3" w:rsidP="004D6A8D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DD0DE3" w:rsidRPr="00183079" w:rsidRDefault="00DD0DE3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Согласно п.1 ст.1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202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98 494 263,92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на 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687 056,33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CB403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больше суммы межбюджетных трансфертов, предусмотренных на 202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D0DE3" w:rsidRPr="00183079" w:rsidRDefault="00DD0DE3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по муниципальным образованиям поселений Щекинского района сложилось следующим образом: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72"/>
              <w:gridCol w:w="2357"/>
              <w:gridCol w:w="2358"/>
              <w:gridCol w:w="2274"/>
            </w:tblGrid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434DFE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 w:rsidR="00434DFE">
                    <w:rPr>
                      <w:rFonts w:ascii="Times New Roman" w:hAnsi="Times New Roman" w:cs="Times New Roman"/>
                    </w:rPr>
                    <w:t>1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434DFE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 w:rsidR="00434DFE">
                    <w:rPr>
                      <w:rFonts w:ascii="Times New Roman" w:hAnsi="Times New Roman" w:cs="Times New Roman"/>
                    </w:rPr>
                    <w:t>2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434DFE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 w:rsidR="00434DFE"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город Щекино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295AAE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295AAE">
                    <w:rPr>
                      <w:rFonts w:ascii="Times New Roman" w:hAnsi="Times New Roman" w:cs="Times New Roman"/>
                      <w:lang w:eastAsia="en-US"/>
                    </w:rPr>
                    <w:t>64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 522 502,9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E96FFE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64 535 71,07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7C795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64 923 790,57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город Советск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763664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3 838 212,1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285ECC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2 687 980,54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806606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2 798 156,10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р.п. Первомайский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326670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8 441 566,8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151B52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1 814 499,78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336EE2" w:rsidP="00CF0520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1 901 958,37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Крапивенское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FE17C2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4 353 667,10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B233C1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3 602 857,49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9E35C2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3 748 894,50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Лазаревское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837514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1 614 082,9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EA5601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1 004 622,02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2C6390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1 031 249,44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Ломинцевское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B40C3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4 899 374,0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B40C3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3 833 315,41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E62C96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4 066 589,65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Огаревское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DC2A7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2 590 068,8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A512D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2 194 949,73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F64398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2 158 498,02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lastRenderedPageBreak/>
                    <w:t>Яснополянское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6D2C3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1 834 789,40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EB5562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1 410 251,05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95AAE" w:rsidRDefault="00C24EDA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966 367,39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183079">
                    <w:rPr>
                      <w:rFonts w:ascii="Times New Roman" w:hAnsi="Times New Roman" w:cs="Times New Roman"/>
                    </w:rPr>
                    <w:t>нераспределенные</w:t>
                  </w:r>
                  <w:proofErr w:type="gramEnd"/>
                  <w:r w:rsidRPr="00183079">
                    <w:rPr>
                      <w:rFonts w:ascii="Times New Roman" w:hAnsi="Times New Roman" w:cs="Times New Roman"/>
                    </w:rPr>
                    <w:t xml:space="preserve"> (управление финансами)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  <w:lang w:eastAsia="en-US"/>
                    </w:rPr>
                    <w:t>200 000,00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00126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200 00</w:t>
                  </w:r>
                  <w:r w:rsidR="00DD0DE3" w:rsidRPr="00183079">
                    <w:rPr>
                      <w:rFonts w:ascii="Times New Roman" w:hAnsi="Times New Roman" w:cs="Times New Roman"/>
                      <w:lang w:eastAsia="en-US"/>
                    </w:rPr>
                    <w:t>0,00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681AC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</w:t>
                  </w:r>
                  <w:r w:rsidR="00DD0DE3" w:rsidRPr="00183079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000</w:t>
                  </w:r>
                  <w:r w:rsidR="00DD0DE3" w:rsidRPr="00183079">
                    <w:rPr>
                      <w:rFonts w:ascii="Times New Roman" w:hAnsi="Times New Roman" w:cs="Times New Roman"/>
                      <w:lang w:eastAsia="en-US"/>
                    </w:rPr>
                    <w:t>,00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183079">
                    <w:rPr>
                      <w:rFonts w:ascii="Times New Roman" w:hAnsi="Times New Roman" w:cs="Times New Roman"/>
                    </w:rPr>
                    <w:t>нераспределенные</w:t>
                  </w:r>
                  <w:proofErr w:type="gramEnd"/>
                  <w:r w:rsidRPr="00183079">
                    <w:rPr>
                      <w:rFonts w:ascii="Times New Roman" w:hAnsi="Times New Roman" w:cs="Times New Roman"/>
                    </w:rPr>
                    <w:t xml:space="preserve"> (сбалансированность)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  <w:lang w:eastAsia="en-US"/>
                    </w:rPr>
                    <w:t>6 200 000,00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FC3B3C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6 200 000,00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FC3B3C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6 200 000,00</w:t>
                  </w:r>
                </w:p>
              </w:tc>
            </w:tr>
            <w:tr w:rsidR="00DD0DE3" w:rsidRPr="00183079" w:rsidTr="00B10F47"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149C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98 494 263,9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E52341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87 484 257,09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0D76D5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87 995 504,04</w:t>
                  </w:r>
                </w:p>
              </w:tc>
            </w:tr>
          </w:tbl>
          <w:p w:rsidR="00222B48" w:rsidRDefault="00DD0DE3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межбюджетных трансфертов связано с выделением межбюджетных трансфертов муниципальному образованию </w:t>
            </w:r>
            <w:r w:rsidR="00222B48">
              <w:rPr>
                <w:rFonts w:ascii="Times New Roman" w:hAnsi="Times New Roman" w:cs="Times New Roman"/>
                <w:sz w:val="28"/>
                <w:szCs w:val="28"/>
              </w:rPr>
              <w:t xml:space="preserve">город Щекино, р.п. </w:t>
            </w:r>
            <w:proofErr w:type="gramStart"/>
            <w:r w:rsidR="00222B48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 w:rsidR="00222B48">
              <w:rPr>
                <w:rFonts w:ascii="Times New Roman" w:hAnsi="Times New Roman" w:cs="Times New Roman"/>
                <w:sz w:val="28"/>
                <w:szCs w:val="28"/>
              </w:rPr>
              <w:t xml:space="preserve"> и МО Крапивенское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в 202</w:t>
            </w:r>
            <w:r w:rsidR="00222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222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222B48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плановом периоде 2022 и 2023 годов объем межбюджетных трансфертов, передаваемый бюджетам поселений увеличен в 2022 году на 1 000 000,00 рублей </w:t>
            </w:r>
            <w:r w:rsidR="008E4AB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образованию </w:t>
            </w:r>
            <w:r w:rsidR="008E4AB3">
              <w:rPr>
                <w:rFonts w:ascii="Times New Roman" w:hAnsi="Times New Roman" w:cs="Times New Roman"/>
                <w:sz w:val="28"/>
                <w:szCs w:val="28"/>
              </w:rPr>
              <w:t xml:space="preserve">город Щекино на создание виртуальных концертных залов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2023 году на 100 000,00 рублей – бюджетные ассигнования направлены </w:t>
            </w:r>
            <w:r w:rsidR="008E4AB3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Крапивенское на государственную поддержку лучших сельских учреждений культуры.</w:t>
            </w:r>
            <w:proofErr w:type="gramEnd"/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годов»: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46 064 063,75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2 152 936 062,19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2 056 599,90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880 985 162,20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14 814 494,67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798 648 215,14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реализации муниципальных программ.</w:t>
            </w: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20.</w:t>
            </w: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C0" w:rsidRPr="00960110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объема бюджетных ассигнований в 2021 году по муниципальным программам на общую сумму 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46 064 063,75 руб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CB39C0" w:rsidRPr="00960110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на сумму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46 565 984,51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и архивного дела в муниципальном образовании Щекинский район» на 10 900 000,0 руб. или на 0,8% от утвержденного плана;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муниципальном образовании Щекинский район» на 17 728 238,09  руб. или на 20,2% от утвержденного плана;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в муниципальном образовании Щекинский район» на 2 638 104,87 руб. или на 4,6 % от утвержденного плана;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gram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9C0" w:rsidRPr="00960110" w:rsidRDefault="00CB39C0" w:rsidP="00CB39C0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образования Щекинский район» на 1 919 500,0 руб. или на 3,4%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правопорядка и общественной безопасности </w:t>
            </w:r>
          </w:p>
          <w:p w:rsidR="00CB39C0" w:rsidRPr="001E3C86" w:rsidRDefault="00CB39C0" w:rsidP="00CB39C0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населения на территории муниципального образования  Щекинский район» на 1 800 000,0 руб. или на 24,2%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на 3 750 000,0 руб. или на 45,1%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 на 2 093 719,84 руб. Объем  финансирования программы увеличен на 2,2%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  и комплексное развитие коммунальной инфраструктуры в муниципальном образовании Щекинский район» на 4 530 173,49  руб. или на 1,9%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«Развитие и поддержание информационной системы администрации муниципального образования Щекинский район» на 150 000,0 руб. или на 4,2% от утвержденного плана;</w:t>
            </w:r>
          </w:p>
          <w:p w:rsidR="00CB39C0" w:rsidRPr="003F06E4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E4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развитие сельских территорий муниципального образования Щекинский район» на 1 056 248,22 руб. или на 66,4% от утвержденного плана. </w:t>
            </w:r>
          </w:p>
          <w:p w:rsidR="00CB39C0" w:rsidRPr="003F06E4" w:rsidRDefault="00CB39C0" w:rsidP="00CB39C0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C0" w:rsidRPr="0037204A" w:rsidRDefault="00CB39C0" w:rsidP="00CB39C0">
            <w:pPr>
              <w:tabs>
                <w:tab w:val="left" w:pos="1098"/>
              </w:tabs>
              <w:spacing w:after="0" w:line="240" w:lineRule="auto"/>
              <w:ind w:firstLine="1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бюджетных ассигнований</w:t>
            </w:r>
            <w:r w:rsidRPr="0037204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одной </w:t>
            </w:r>
          </w:p>
          <w:p w:rsidR="00CB39C0" w:rsidRPr="0037204A" w:rsidRDefault="00CB39C0" w:rsidP="00CB39C0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04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«Энергосбережение и повышение энергетической эффективности в муниципальном образовании Щекинский район на сумму 501 920,76 руб. или на 12,8% от утвержденного плана.</w:t>
            </w:r>
          </w:p>
          <w:p w:rsidR="00CB39C0" w:rsidRPr="0037204A" w:rsidRDefault="00CB39C0" w:rsidP="00CB39C0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2023 году по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программам.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 </w:t>
            </w:r>
            <w:r w:rsidRPr="007A4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2022 году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программам уменьшится на общую сумму </w:t>
            </w:r>
            <w:r w:rsidRPr="007A4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2 056 599,90 руб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. и составит 1 880 985 162,20 руб., </w:t>
            </w:r>
            <w:r w:rsidRPr="007A4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2023 году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увеличится на </w:t>
            </w:r>
            <w:r w:rsidRPr="007A4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14 814 494,67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составит 1 798 648 215,14 руб. в том числе:</w:t>
            </w:r>
          </w:p>
          <w:tbl>
            <w:tblPr>
              <w:tblW w:w="930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68"/>
              <w:gridCol w:w="3787"/>
              <w:gridCol w:w="1620"/>
              <w:gridCol w:w="913"/>
              <w:gridCol w:w="1822"/>
              <w:gridCol w:w="698"/>
            </w:tblGrid>
            <w:tr w:rsidR="00CB39C0" w:rsidRPr="00183079" w:rsidTr="006B725B">
              <w:tc>
                <w:tcPr>
                  <w:tcW w:w="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Отклонения в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году от  утвержденного плана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Отклонения в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году  </w:t>
                  </w:r>
                  <w:proofErr w:type="gramStart"/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</w:t>
                  </w:r>
                  <w:proofErr w:type="gramEnd"/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утвержденного </w:t>
                  </w:r>
                </w:p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плана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образования и архивного дела в муниципальном образовании Щекинский район»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-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-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843,77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-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культуры  в </w:t>
                  </w: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Щекинский район»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+1 000 000,0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+17 932 450,9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20,2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«Управление </w:t>
                  </w:r>
                  <w:proofErr w:type="spellStart"/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ифинансами</w:t>
                  </w:r>
                  <w:proofErr w:type="spellEnd"/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Щекинский район 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-3 056 600,0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3,0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-3 118 800,0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2,9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1224"/>
                      <w:tab w:val="left" w:pos="2968"/>
                    </w:tabs>
                    <w:spacing w:after="0" w:line="240" w:lineRule="auto"/>
                    <w:ind w:right="-9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+0,10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B39C0" w:rsidRPr="00183079" w:rsidTr="006B725B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-2 056 599,90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+14 814 494,67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C0" w:rsidRPr="00183079" w:rsidRDefault="00CB39C0" w:rsidP="006B725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D0DE3" w:rsidRPr="00183079" w:rsidRDefault="00DD0DE3" w:rsidP="00CC6FA6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D0DE3" w:rsidRPr="00183079" w:rsidRDefault="00DD0DE3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202</w:t>
            </w:r>
            <w:r w:rsidR="008D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8D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района:</w:t>
            </w:r>
          </w:p>
          <w:p w:rsidR="00DD0DE3" w:rsidRPr="00183079" w:rsidRDefault="00DD0DE3" w:rsidP="006C7B69">
            <w:pPr>
              <w:tabs>
                <w:tab w:val="left" w:pos="705"/>
                <w:tab w:val="left" w:pos="2968"/>
                <w:tab w:val="left" w:pos="479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 w:rsidR="008D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увеличить на </w:t>
            </w:r>
            <w:r w:rsidR="008D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1 000 000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D4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руб., за счет средств бюджета Тульской области</w:t>
            </w:r>
            <w:r w:rsidR="0050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муниципальному образованию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0DE3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 w:rsidR="005D3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17 605 836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9939CF" w:rsidRPr="00183079" w:rsidRDefault="009939CF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202</w:t>
            </w:r>
            <w:r w:rsidR="00583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83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в плановом периоде увеличен на 1</w:t>
            </w:r>
            <w:r w:rsidR="00955CE9">
              <w:rPr>
                <w:rFonts w:ascii="Times New Roman" w:hAnsi="Times New Roman" w:cs="Times New Roman"/>
                <w:sz w:val="28"/>
                <w:szCs w:val="28"/>
              </w:rPr>
              <w:t> 000 000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,00 руб. в 202</w:t>
            </w:r>
            <w:r w:rsidR="00955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на </w:t>
            </w:r>
            <w:r w:rsidR="00BE133E">
              <w:rPr>
                <w:rFonts w:ascii="Times New Roman" w:hAnsi="Times New Roman" w:cs="Times New Roman"/>
                <w:sz w:val="28"/>
                <w:szCs w:val="28"/>
              </w:rPr>
              <w:t>17 605 836,90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BE1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году, уточнение сложилось следующим образом:</w:t>
            </w:r>
          </w:p>
          <w:p w:rsidR="00E01C09" w:rsidRDefault="005726B2" w:rsidP="00E01C0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асходы по разделу 0</w:t>
            </w:r>
            <w:r w:rsidR="00857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корректируются  в сторону увеличения на </w:t>
            </w:r>
            <w:r w:rsidR="0085701D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 w:rsidR="00BB1F8B">
              <w:rPr>
                <w:rFonts w:ascii="Times New Roman" w:hAnsi="Times New Roman" w:cs="Times New Roman"/>
                <w:sz w:val="28"/>
                <w:szCs w:val="28"/>
              </w:rPr>
              <w:t>на основании уведомления министерства финансов Тульской области</w:t>
            </w:r>
            <w:r w:rsidR="0068226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01C09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по разделу 13 корректируются в сторону уменьшения на </w:t>
            </w:r>
            <w:r w:rsidR="0068226C">
              <w:rPr>
                <w:rFonts w:ascii="Times New Roman" w:hAnsi="Times New Roman" w:cs="Times New Roman"/>
                <w:sz w:val="28"/>
                <w:szCs w:val="28"/>
              </w:rPr>
              <w:t>3 056 600,00</w:t>
            </w:r>
            <w:r w:rsidR="00E01C09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руб. в связи с внесением изменений в программу муниципальных заимствований.</w:t>
            </w:r>
          </w:p>
          <w:p w:rsidR="00DD0DE3" w:rsidRDefault="00DD0DE3" w:rsidP="0025226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E5E" w:rsidRDefault="00346E5E" w:rsidP="00346E5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асходы по 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корректируются  в сторону увеличения на </w:t>
            </w:r>
            <w:r w:rsidR="006373F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уведомления министерства финансов Тульской област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7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373F4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по разделу 13 корректируются в сторону уменьшения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3 118 800,00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руб. в связи с внесением изменений в программу муниципальных заимствований.</w:t>
            </w:r>
          </w:p>
          <w:p w:rsidR="00DD0DE3" w:rsidRPr="00183079" w:rsidRDefault="00DD0DE3" w:rsidP="00CC6FA6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47227F" w:rsidRPr="00472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7227F" w:rsidRPr="0047227F">
              <w:rPr>
                <w:rFonts w:ascii="Times New Roman" w:hAnsi="Times New Roman" w:cs="Times New Roman"/>
                <w:sz w:val="28"/>
                <w:szCs w:val="28"/>
              </w:rPr>
              <w:t>увеличены на  3 056 600,00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увеличены 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3 118 800,00</w:t>
            </w:r>
            <w:r w:rsidR="0047227F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</w:t>
            </w:r>
            <w:r w:rsidR="0058717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и 6,</w:t>
            </w:r>
            <w:r w:rsidR="0058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4739E9" w:rsidRPr="000D3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 xml:space="preserve"> год и 202</w:t>
            </w:r>
            <w:r w:rsidR="004739E9" w:rsidRPr="000D3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кредиты кредитных организаций в валюте Российской Федерации в сумме 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72 473 828,62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</w:t>
            </w:r>
            <w:r w:rsidR="00E5451D">
              <w:rPr>
                <w:rFonts w:ascii="Times New Roman" w:hAnsi="Times New Roman" w:cs="Times New Roman"/>
                <w:sz w:val="28"/>
                <w:szCs w:val="28"/>
              </w:rPr>
              <w:t>69 995 055,73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бюджетных кредитов, предоставленных другим бюджетам бюджетной системы Российской Федерации в валюте Российской Федерации в сумме 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1 938 000,00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49" w:rsidRDefault="00B40149" w:rsidP="009D64C0">
      <w:pPr>
        <w:spacing w:after="0" w:line="240" w:lineRule="auto"/>
      </w:pPr>
      <w:r>
        <w:separator/>
      </w:r>
    </w:p>
  </w:endnote>
  <w:endnote w:type="continuationSeparator" w:id="1">
    <w:p w:rsidR="00B40149" w:rsidRDefault="00B4014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49" w:rsidRDefault="00E67E19">
    <w:pPr>
      <w:pStyle w:val="af0"/>
      <w:jc w:val="center"/>
    </w:pPr>
    <w:fldSimple w:instr=" PAGE   \* MERGEFORMAT ">
      <w:r w:rsidR="007B68DE">
        <w:rPr>
          <w:noProof/>
        </w:rPr>
        <w:t>8</w:t>
      </w:r>
    </w:fldSimple>
  </w:p>
  <w:p w:rsidR="00B40149" w:rsidRDefault="00B401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49" w:rsidRDefault="00B40149" w:rsidP="009D64C0">
      <w:pPr>
        <w:spacing w:after="0" w:line="240" w:lineRule="auto"/>
      </w:pPr>
      <w:r>
        <w:separator/>
      </w:r>
    </w:p>
  </w:footnote>
  <w:footnote w:type="continuationSeparator" w:id="1">
    <w:p w:rsidR="00B40149" w:rsidRDefault="00B4014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518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B1C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F17"/>
    <w:rsid w:val="00B81678"/>
    <w:rsid w:val="00B81A8F"/>
    <w:rsid w:val="00B830A7"/>
    <w:rsid w:val="00B835A2"/>
    <w:rsid w:val="00B838EC"/>
    <w:rsid w:val="00B83FE5"/>
    <w:rsid w:val="00B85009"/>
    <w:rsid w:val="00B86EE5"/>
    <w:rsid w:val="00B87B87"/>
    <w:rsid w:val="00B901CF"/>
    <w:rsid w:val="00B902E1"/>
    <w:rsid w:val="00B906D3"/>
    <w:rsid w:val="00B9183D"/>
    <w:rsid w:val="00B91FE7"/>
    <w:rsid w:val="00B92809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91B9-6B56-4756-9C3D-D213F04B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13</Pages>
  <Words>3142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761</cp:revision>
  <cp:lastPrinted>2020-02-17T13:09:00Z</cp:lastPrinted>
  <dcterms:created xsi:type="dcterms:W3CDTF">2020-02-12T07:01:00Z</dcterms:created>
  <dcterms:modified xsi:type="dcterms:W3CDTF">2021-03-05T07:14:00Z</dcterms:modified>
</cp:coreProperties>
</file>